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DE98" w14:textId="0C36D870" w:rsidR="007F7B70" w:rsidRPr="005D0ABF" w:rsidRDefault="00AB6873" w:rsidP="006E455D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QUITO, COTACHI, COTOPAXI</w:t>
      </w:r>
    </w:p>
    <w:p w14:paraId="6F5D0190" w14:textId="12A47654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96D1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B6873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6566FA1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D337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4A5C2EE2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AB687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1 pasajero 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453E1AEA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B6D77">
        <w:rPr>
          <w:rFonts w:eastAsia="Arial"/>
          <w:sz w:val="24"/>
          <w:szCs w:val="24"/>
        </w:rPr>
        <w:t>Guadalajara</w:t>
      </w:r>
      <w:r w:rsidR="00446AF3">
        <w:rPr>
          <w:rFonts w:eastAsia="Arial"/>
          <w:sz w:val="24"/>
          <w:szCs w:val="24"/>
        </w:rPr>
        <w:t xml:space="preserve"> </w:t>
      </w:r>
      <w:r w:rsidR="00DD5938">
        <w:rPr>
          <w:rFonts w:eastAsia="Arial"/>
          <w:sz w:val="24"/>
          <w:szCs w:val="24"/>
        </w:rPr>
        <w:t xml:space="preserve">– </w:t>
      </w:r>
      <w:r w:rsidR="00AB6873">
        <w:rPr>
          <w:rFonts w:eastAsia="Arial"/>
          <w:sz w:val="24"/>
          <w:szCs w:val="24"/>
        </w:rPr>
        <w:t>Quito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418099C8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B6873">
        <w:rPr>
          <w:rFonts w:eastAsia="Arial"/>
          <w:sz w:val="24"/>
          <w:szCs w:val="24"/>
        </w:rPr>
        <w:t xml:space="preserve">Quito </w:t>
      </w:r>
      <w:r w:rsidR="00DD5938">
        <w:rPr>
          <w:rFonts w:eastAsia="Arial"/>
          <w:sz w:val="24"/>
          <w:szCs w:val="24"/>
        </w:rPr>
        <w:t xml:space="preserve">– </w:t>
      </w:r>
      <w:r w:rsidR="00AB6873">
        <w:rPr>
          <w:rFonts w:eastAsia="Arial"/>
          <w:sz w:val="24"/>
          <w:szCs w:val="24"/>
        </w:rPr>
        <w:t>Cotacachi</w:t>
      </w:r>
    </w:p>
    <w:p w14:paraId="317920D7" w14:textId="729F7A17" w:rsidR="00DD5938" w:rsidRPr="00DD5938" w:rsidRDefault="00DD5938" w:rsidP="00AB6873">
      <w:pPr>
        <w:spacing w:after="0" w:line="240" w:lineRule="auto"/>
        <w:jc w:val="both"/>
        <w:outlineLvl w:val="0"/>
        <w:rPr>
          <w:rFonts w:asciiTheme="minorHAnsi" w:eastAsia="Arial" w:hAnsiTheme="minorHAnsi" w:cstheme="minorHAnsi"/>
          <w:color w:val="00206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Salida desde su hotel hacia el norte y visita de la “Plaza de Ponchos” en el mercado de artesanías y tejidos de Otavalo, también visitaremos Cotacachi y sus tiendas de artículos de cuero, de camino disfrutaremos los paisajes Andinos que dan El Lago San Pablo y los volcanes  Imbabura y Cayambe, es prácticamente un tour de compras con mucho folklore.  Retorno</w:t>
      </w:r>
      <w:r w:rsidR="00AB6873">
        <w:rPr>
          <w:rFonts w:ascii="Arial" w:hAnsi="Arial" w:cs="Arial"/>
          <w:sz w:val="20"/>
          <w:szCs w:val="20"/>
          <w:lang w:val="es-ES_tradnl" w:eastAsia="es-ES"/>
        </w:rPr>
        <w:t xml:space="preserve">. </w:t>
      </w:r>
      <w:r w:rsidRPr="00AB6873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6303057D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B6873" w:rsidRPr="00AB6873">
        <w:rPr>
          <w:rFonts w:asciiTheme="minorHAnsi" w:eastAsia="Arial" w:hAnsiTheme="minorHAnsi"/>
          <w:b/>
          <w:color w:val="FF0000"/>
          <w:sz w:val="24"/>
          <w:szCs w:val="24"/>
        </w:rPr>
        <w:t xml:space="preserve">Quito </w:t>
      </w:r>
      <w:r w:rsidR="00DD5938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AB6873">
        <w:rPr>
          <w:rFonts w:asciiTheme="minorHAnsi" w:eastAsia="Arial" w:hAnsiTheme="minorHAnsi"/>
          <w:b/>
          <w:color w:val="FF0000"/>
          <w:sz w:val="24"/>
          <w:szCs w:val="24"/>
        </w:rPr>
        <w:t>Mitad del mundo con atracciones</w:t>
      </w:r>
    </w:p>
    <w:p w14:paraId="08BDFC40" w14:textId="3F50E293" w:rsidR="00AB6873" w:rsidRPr="00921C5B" w:rsidRDefault="00DD5938" w:rsidP="00AB68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  Monumento a la Línea Ecuador (incluido) y el Museo del “</w:t>
      </w:r>
      <w:proofErr w:type="spellStart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 xml:space="preserve">” (incluido) finalmente parada en el Teleférico para quienes deseen visitarlo (por su cuenta)  sino retorno a cada hotel. </w:t>
      </w:r>
      <w:r w:rsidR="00AB6873" w:rsidRPr="00AB6873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AB6873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3967871A" w14:textId="7B82CFE7" w:rsidR="006E455D" w:rsidRPr="006E455D" w:rsidRDefault="006E455D" w:rsidP="00AB6873">
      <w:pPr>
        <w:pStyle w:val="paragraft"/>
        <w:rPr>
          <w:rFonts w:eastAsia="Arial"/>
        </w:rPr>
      </w:pPr>
    </w:p>
    <w:p w14:paraId="63161682" w14:textId="41CDE8FB" w:rsidR="00DE25BD" w:rsidRPr="006E455D" w:rsidRDefault="00A109A1" w:rsidP="00DE25BD">
      <w:pPr>
        <w:spacing w:after="0"/>
        <w:rPr>
          <w:rFonts w:asciiTheme="minorHAnsi" w:eastAsia="Arial" w:hAnsiTheme="minorHAnsi" w:cstheme="minorHAnsi"/>
          <w:color w:val="002060"/>
          <w:sz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B6873">
        <w:rPr>
          <w:rFonts w:asciiTheme="minorHAnsi" w:eastAsia="Arial" w:hAnsiTheme="minorHAnsi"/>
          <w:b/>
          <w:color w:val="FF0000"/>
          <w:sz w:val="24"/>
          <w:szCs w:val="24"/>
        </w:rPr>
        <w:t>Parque nacional Cotopaxi</w:t>
      </w:r>
    </w:p>
    <w:p w14:paraId="4213B242" w14:textId="10AF3279" w:rsidR="006E455D" w:rsidRPr="00AB6873" w:rsidRDefault="006E455D" w:rsidP="00AB68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6E455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08:00  Salida desde su hotel. Visita al Parque Nacional Cotopaxi, ubicado a 70 km al sur-este de Quito, se iniciará la visita con caminata alrededor de la laguna de “</w:t>
      </w:r>
      <w:proofErr w:type="spellStart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Limpiopungo</w:t>
      </w:r>
      <w:proofErr w:type="spellEnd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” oportunidad de ver aves, caballos salvajes y las "chuquiraguas" como se conoce a la flor de los Andes, nos rodearemos de mucha naturaleza, se hará una parada en una finca de Rosas de Exportación (incluido) Retorno</w:t>
      </w:r>
      <w:r w:rsidRPr="00C709F7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C709F7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C709F7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08AA6858" w14:textId="77777777" w:rsidR="006E455D" w:rsidRPr="00C709F7" w:rsidRDefault="006E455D" w:rsidP="006E455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5ACFE3A8" w14:textId="1CD89F04" w:rsidR="00523F7C" w:rsidRDefault="00523F7C" w:rsidP="00523F7C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B6873">
        <w:rPr>
          <w:rFonts w:eastAsia="Arial"/>
          <w:sz w:val="24"/>
          <w:szCs w:val="24"/>
        </w:rPr>
        <w:t>5</w:t>
      </w:r>
      <w:r w:rsidRPr="00BD0EA5">
        <w:rPr>
          <w:rFonts w:eastAsia="Arial"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 w:rsidR="00AB6873" w:rsidRPr="00AB6873">
        <w:rPr>
          <w:rFonts w:eastAsia="Arial"/>
          <w:color w:val="FF0000"/>
          <w:sz w:val="24"/>
          <w:szCs w:val="24"/>
        </w:rPr>
        <w:t>Quito</w:t>
      </w:r>
      <w:r w:rsidR="00AB6873" w:rsidRPr="00AB6873">
        <w:rPr>
          <w:rFonts w:eastAsia="Arial"/>
          <w:b w:val="0"/>
          <w:color w:val="FF0000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 xml:space="preserve">- </w:t>
      </w:r>
      <w:r w:rsidR="004B6D77">
        <w:rPr>
          <w:rFonts w:eastAsia="Arial"/>
          <w:color w:val="FF0000"/>
          <w:sz w:val="24"/>
          <w:szCs w:val="24"/>
        </w:rPr>
        <w:t>Guadalajara</w:t>
      </w:r>
    </w:p>
    <w:p w14:paraId="12143761" w14:textId="186E9F22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con destino </w:t>
      </w:r>
      <w:r w:rsidR="004B6D77">
        <w:rPr>
          <w:rFonts w:asciiTheme="minorHAnsi" w:eastAsia="Arial" w:hAnsiTheme="minorHAnsi" w:cstheme="minorHAnsi"/>
          <w:color w:val="002060"/>
          <w:sz w:val="20"/>
        </w:rPr>
        <w:t>a Guadalajara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3EBE63A6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029239C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18F80E8" w14:textId="77777777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Traslado Aeropuerto – hotel – aeropuerto con trasladistas en privado.</w:t>
      </w:r>
    </w:p>
    <w:p w14:paraId="39510CE3" w14:textId="3DDF57FA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4 Noches de Alojamiento en Quito con desayunos en hotel elegido, con impuestos y tasas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5683AAD" w14:textId="77777777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de día completo a la Ciudad, Mitad del Mundo con Atracciones.</w:t>
      </w:r>
    </w:p>
    <w:p w14:paraId="3A9FF35D" w14:textId="3C3EE1FF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al Mercado de Otavalo y Cotacachi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2547FBA5" w14:textId="5370C036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al Parque Nacional Cotopaxi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3B31B17" w14:textId="77777777" w:rsidR="00AB6873" w:rsidRPr="00AB6873" w:rsidRDefault="00AB6873" w:rsidP="00AB6873">
      <w:pPr>
        <w:pStyle w:val="Sinespaciado"/>
        <w:ind w:left="720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4CCD65E2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650F56A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AECF325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779BD0A" w14:textId="77777777" w:rsidR="00BF5640" w:rsidRDefault="00BF5640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E35C0E2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70BFD5C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074F8C6B" w14:textId="656AC73B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Vuelos internos e internacionales</w:t>
      </w:r>
      <w:r w:rsidR="004B6D77">
        <w:rPr>
          <w:rFonts w:asciiTheme="minorHAnsi" w:eastAsia="Arial" w:hAnsiTheme="minorHAnsi" w:cstheme="minorHAnsi"/>
          <w:color w:val="002060"/>
          <w:sz w:val="20"/>
        </w:rPr>
        <w:t xml:space="preserve"> (precio orientativo)</w:t>
      </w:r>
      <w:r w:rsidRPr="00AB6873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11CAAB4F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Seguro de Asistencia</w:t>
      </w:r>
    </w:p>
    <w:p w14:paraId="271A9F49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435D8617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75EE00A3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49B16162" w14:textId="116FDEB6" w:rsidR="001E559D" w:rsidRDefault="00196D15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viaje </w:t>
      </w:r>
      <w:r w:rsidR="00523F7C">
        <w:rPr>
          <w:rFonts w:asciiTheme="minorHAnsi" w:eastAsia="Arial" w:hAnsiTheme="minorHAnsi" w:cstheme="minorHAnsi"/>
          <w:color w:val="002060"/>
          <w:sz w:val="20"/>
        </w:rPr>
        <w:t>y/</w:t>
      </w:r>
      <w:r>
        <w:rPr>
          <w:rFonts w:asciiTheme="minorHAnsi" w:eastAsia="Arial" w:hAnsiTheme="minorHAnsi" w:cstheme="minorHAnsi"/>
          <w:color w:val="002060"/>
          <w:sz w:val="20"/>
        </w:rPr>
        <w:t>o asistencia al viajero.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tbl>
      <w:tblPr>
        <w:tblW w:w="729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3634"/>
        <w:gridCol w:w="1300"/>
      </w:tblGrid>
      <w:tr w:rsidR="00AB6873" w:rsidRPr="002E4D0B" w14:paraId="0F2AF919" w14:textId="77777777" w:rsidTr="002E4D0B">
        <w:trPr>
          <w:trHeight w:val="29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C6D54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LISTA DE HOTELES (Previstos o similares)</w:t>
            </w:r>
          </w:p>
        </w:tc>
      </w:tr>
      <w:tr w:rsidR="00AB6873" w:rsidRPr="002E4D0B" w14:paraId="15C3FFEC" w14:textId="77777777" w:rsidTr="002E4D0B">
        <w:trPr>
          <w:trHeight w:val="29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2F5CA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C520C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48660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CAT</w:t>
            </w:r>
          </w:p>
        </w:tc>
      </w:tr>
      <w:tr w:rsidR="002E4D0B" w:rsidRPr="002E4D0B" w14:paraId="6D7D44EE" w14:textId="77777777" w:rsidTr="002E4D0B">
        <w:trPr>
          <w:trHeight w:val="29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DBBB5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  <w:t>QUITO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6C05C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IBIS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E4656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T</w:t>
            </w:r>
          </w:p>
        </w:tc>
      </w:tr>
      <w:tr w:rsidR="002E4D0B" w:rsidRPr="002E4D0B" w14:paraId="220575E9" w14:textId="77777777" w:rsidTr="002E4D0B">
        <w:trPr>
          <w:trHeight w:val="29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A49AE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995B7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HOLIDAY INN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170E9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P</w:t>
            </w:r>
          </w:p>
        </w:tc>
      </w:tr>
      <w:tr w:rsidR="002E4D0B" w:rsidRPr="002E4D0B" w14:paraId="041647F2" w14:textId="77777777" w:rsidTr="002E4D0B">
        <w:trPr>
          <w:trHeight w:val="29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92843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A6A29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SWISSOTEL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755E0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S</w:t>
            </w:r>
          </w:p>
        </w:tc>
      </w:tr>
    </w:tbl>
    <w:p w14:paraId="78599EE6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79EF1AE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2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962"/>
        <w:gridCol w:w="759"/>
        <w:gridCol w:w="962"/>
        <w:gridCol w:w="1014"/>
      </w:tblGrid>
      <w:tr w:rsidR="00AB6873" w:rsidRPr="002E4D0B" w14:paraId="7C791518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F4865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PRECIO POR PERSONA EN USD</w:t>
            </w:r>
          </w:p>
        </w:tc>
      </w:tr>
      <w:tr w:rsidR="002E4D0B" w:rsidRPr="002E4D0B" w14:paraId="114B79B6" w14:textId="77777777" w:rsidTr="00FC176C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B21B8" w14:textId="2E748A73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96E2E" w14:textId="62E938B8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4A87D" w14:textId="1AE581A2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08BB7" w14:textId="444F8974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CD030" w14:textId="014E48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MNR</w:t>
            </w:r>
          </w:p>
        </w:tc>
      </w:tr>
      <w:tr w:rsidR="002E4D0B" w:rsidRPr="002E4D0B" w14:paraId="25F19CFC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8FE68" w14:textId="0889505C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49399" w14:textId="26B5AE0D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F6126" w14:textId="772D0F58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EBF5A" w14:textId="5B82CF5A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730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FC3A6" w14:textId="3DD2525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340</w:t>
            </w:r>
          </w:p>
        </w:tc>
      </w:tr>
      <w:tr w:rsidR="002E4D0B" w:rsidRPr="002E4D0B" w14:paraId="015FDD44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035AE" w14:textId="4BF1C86B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82EA7" w14:textId="199603F0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2795C" w14:textId="481B136C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69D36" w14:textId="0BEA32B0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9CB7A" w14:textId="576CE05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600</w:t>
            </w:r>
          </w:p>
        </w:tc>
      </w:tr>
      <w:tr w:rsidR="00903614" w:rsidRPr="002E4D0B" w14:paraId="53D33C3D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83A4A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118C1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F6A53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EAD33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73619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903614" w:rsidRPr="002E4D0B" w14:paraId="33707043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AE439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24668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3EC9B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8D491" w14:textId="66789759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SGL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FABD8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MNR</w:t>
            </w:r>
          </w:p>
        </w:tc>
      </w:tr>
      <w:tr w:rsidR="002E4D0B" w:rsidRPr="002E4D0B" w14:paraId="695D52DF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F784D" w14:textId="1D9FA781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72A7E" w14:textId="701C0794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740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5FBD1" w14:textId="1C55DBFD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680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A44CF" w14:textId="092F0942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980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EA8C4" w14:textId="73BD5AE5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390</w:t>
            </w:r>
          </w:p>
        </w:tc>
      </w:tr>
      <w:tr w:rsidR="002E4D0B" w:rsidRPr="002E4D0B" w14:paraId="7F2F39FC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135F7" w14:textId="51E611A5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00F5C" w14:textId="64B394BB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A12F6" w14:textId="1BA8A860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940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65FB5" w14:textId="0D0AEFF9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1240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4B4A" w14:textId="0BC4CA41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650</w:t>
            </w:r>
          </w:p>
        </w:tc>
      </w:tr>
      <w:tr w:rsidR="00903614" w:rsidRPr="002E4D0B" w14:paraId="0A108DB7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06C29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24539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67DDC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75F2E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B1DBB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903614" w:rsidRPr="002E4D0B" w14:paraId="3A622FBB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965D8" w14:textId="3B532060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SUPERIOR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4EA6F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26B6E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04343" w14:textId="7F0DE40E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SGL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13530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MNR</w:t>
            </w:r>
          </w:p>
        </w:tc>
      </w:tr>
      <w:tr w:rsidR="002E4D0B" w:rsidRPr="002E4D0B" w14:paraId="32AD9A39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DE2BC" w14:textId="4769F93F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04346" w14:textId="59665BCC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790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1D3BC" w14:textId="1756808F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710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49E26" w14:textId="38747185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40341" w14:textId="6A26D800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410</w:t>
            </w:r>
          </w:p>
        </w:tc>
      </w:tr>
      <w:tr w:rsidR="002E4D0B" w:rsidRPr="002E4D0B" w14:paraId="5B757BA6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24CBB" w14:textId="0641A88E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67B78" w14:textId="3D3B431B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1050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BAD1E" w14:textId="40995CC2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970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D41EC" w14:textId="45218A95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1460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6D565" w14:textId="32A1CEF4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670</w:t>
            </w:r>
          </w:p>
        </w:tc>
      </w:tr>
    </w:tbl>
    <w:p w14:paraId="0410E437" w14:textId="77777777" w:rsidR="00D3376A" w:rsidRDefault="00D3376A" w:rsidP="00AB6873">
      <w:pPr>
        <w:pStyle w:val="Sinespaciado"/>
        <w:rPr>
          <w:rFonts w:eastAsia="Arial"/>
        </w:rPr>
      </w:pPr>
    </w:p>
    <w:p w14:paraId="3F9BF364" w14:textId="77777777" w:rsidR="00903614" w:rsidRDefault="00903614" w:rsidP="00AB6873">
      <w:pPr>
        <w:pStyle w:val="Sinespaciado"/>
        <w:rPr>
          <w:rFonts w:eastAsia="Arial"/>
        </w:rPr>
      </w:pPr>
    </w:p>
    <w:tbl>
      <w:tblPr>
        <w:tblW w:w="8263" w:type="dxa"/>
        <w:jc w:val="center"/>
        <w:tblLayout w:type="fixed"/>
        <w:tblLook w:val="0400" w:firstRow="0" w:lastRow="0" w:firstColumn="0" w:lastColumn="0" w:noHBand="0" w:noVBand="1"/>
      </w:tblPr>
      <w:tblGrid>
        <w:gridCol w:w="8263"/>
      </w:tblGrid>
      <w:tr w:rsidR="002E4D0B" w14:paraId="54B8F473" w14:textId="77777777" w:rsidTr="00FB136D">
        <w:trPr>
          <w:trHeight w:val="270"/>
          <w:jc w:val="center"/>
        </w:trPr>
        <w:tc>
          <w:tcPr>
            <w:tcW w:w="8263" w:type="dxa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DCB92E" w14:textId="4444DB06" w:rsidR="002E4D0B" w:rsidRDefault="002E4D0B" w:rsidP="00FB13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RUTA AÉREA PROPUESTA </w:t>
            </w:r>
            <w:r w:rsidRPr="002E4D0B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GDL/PTY/UIO/PTY/GDL</w:t>
            </w:r>
          </w:p>
        </w:tc>
      </w:tr>
      <w:tr w:rsidR="00C037B4" w14:paraId="7CDAE7C9" w14:textId="77777777" w:rsidTr="00C037B4">
        <w:trPr>
          <w:trHeight w:val="458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86B857" w14:textId="77777777" w:rsidR="00C037B4" w:rsidRDefault="00C037B4" w:rsidP="00C037B4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6"/>
                <w:szCs w:val="6"/>
              </w:rPr>
            </w:pPr>
          </w:p>
          <w:p w14:paraId="095AD646" w14:textId="6A549C3B" w:rsidR="00C037B4" w:rsidRDefault="00C037B4" w:rsidP="00C037B4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IMPUESTOS (SUJETOS A CONFIRMACIÓN): 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40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0 USD</w:t>
            </w:r>
          </w:p>
        </w:tc>
      </w:tr>
      <w:tr w:rsidR="002E4D0B" w14:paraId="18CD67C5" w14:textId="77777777" w:rsidTr="00FB136D">
        <w:trPr>
          <w:trHeight w:val="316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0242D0" w14:textId="77777777" w:rsidR="002E4D0B" w:rsidRDefault="002E4D0B" w:rsidP="00FB136D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  <w:p w14:paraId="2ECA0FD0" w14:textId="1329125F" w:rsidR="002E4D0B" w:rsidRPr="00A76A40" w:rsidRDefault="002E4D0B" w:rsidP="00FB136D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A76A40"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SE CONSIDERA MENOR DE </w:t>
            </w:r>
            <w:r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2 </w:t>
            </w:r>
            <w:r w:rsidRPr="00A76A40"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A 11 AÑOS, </w:t>
            </w:r>
            <w:r w:rsidRPr="00A76A40"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COMPARTIENDO HABITACIÓN DOBLE CON 2 ADULTOS, MÁXIMO 2 NIÑOS POR HABITACIÓN. ESTA POLÍTICA ESTÁ SUJETA A CAMBIOS</w:t>
            </w:r>
            <w:r w:rsidR="00C037B4"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.</w:t>
            </w:r>
          </w:p>
        </w:tc>
      </w:tr>
      <w:tr w:rsidR="002E4D0B" w14:paraId="37D54D05" w14:textId="77777777" w:rsidTr="00FB136D">
        <w:trPr>
          <w:trHeight w:val="267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2B5CD" w14:textId="77777777" w:rsidR="002E4D0B" w:rsidRPr="00676F8E" w:rsidRDefault="002E4D0B" w:rsidP="00FB13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2E4D0B" w14:paraId="6F3BD803" w14:textId="77777777" w:rsidTr="00FB136D">
        <w:trPr>
          <w:trHeight w:val="766"/>
          <w:jc w:val="center"/>
        </w:trPr>
        <w:tc>
          <w:tcPr>
            <w:tcW w:w="8263" w:type="dxa"/>
            <w:tcBorders>
              <w:left w:val="single" w:sz="6" w:space="0" w:color="716BC1"/>
              <w:bottom w:val="single" w:sz="4" w:space="0" w:color="000000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F8809A" w14:textId="77777777" w:rsidR="002E4D0B" w:rsidRDefault="002E4D0B" w:rsidP="00FB13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PRECIOS SUJETOS A DISPONIBILIDAD Y A CAMBIOS SIN PREVIO AVISO. TARIFAS NO APLICAN PARA CONGRESOS, EVENTOS ESPECIALES, NAVIDAD, SEMANA SANTA, DIAS FERIADOS. SUPLEMENTO DESDE EL INTERIOR DEL PAÍS, CONSULTAR TARIFA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</w:t>
            </w:r>
          </w:p>
          <w:p w14:paraId="346A47DF" w14:textId="3FA2F640" w:rsidR="002E4D0B" w:rsidRDefault="002E4D0B" w:rsidP="00FB13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VIGENCIA A 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0 DICIEMBRE 2026.</w:t>
            </w:r>
          </w:p>
          <w:p w14:paraId="6C540B21" w14:textId="77777777" w:rsidR="002E4D0B" w:rsidRDefault="002E4D0B" w:rsidP="00FB13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</w:tc>
      </w:tr>
    </w:tbl>
    <w:p w14:paraId="45D49EDF" w14:textId="77777777" w:rsidR="002E4D0B" w:rsidRDefault="002E4D0B" w:rsidP="00AB6873">
      <w:pPr>
        <w:pStyle w:val="Sinespaciado"/>
        <w:rPr>
          <w:rFonts w:eastAsia="Arial"/>
        </w:rPr>
      </w:pPr>
    </w:p>
    <w:p w14:paraId="09ACC7B9" w14:textId="77777777" w:rsidR="002E4D0B" w:rsidRDefault="002E4D0B" w:rsidP="00AB6873">
      <w:pPr>
        <w:pStyle w:val="Sinespaciado"/>
        <w:rPr>
          <w:rFonts w:eastAsia="Arial"/>
        </w:rPr>
      </w:pPr>
    </w:p>
    <w:p w14:paraId="749C3311" w14:textId="77777777" w:rsidR="00903614" w:rsidRDefault="00903614" w:rsidP="00AB6873">
      <w:pPr>
        <w:pStyle w:val="Sinespaciado"/>
        <w:rPr>
          <w:rFonts w:eastAsia="Arial"/>
        </w:rPr>
      </w:pPr>
    </w:p>
    <w:sectPr w:rsidR="00903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A2A9A" w14:textId="77777777" w:rsidR="000C756B" w:rsidRDefault="000C756B">
      <w:pPr>
        <w:spacing w:after="0" w:line="240" w:lineRule="auto"/>
      </w:pPr>
      <w:r>
        <w:separator/>
      </w:r>
    </w:p>
  </w:endnote>
  <w:endnote w:type="continuationSeparator" w:id="0">
    <w:p w14:paraId="57DE832C" w14:textId="77777777" w:rsidR="000C756B" w:rsidRDefault="000C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7E7AF" w14:textId="77777777" w:rsidR="000C756B" w:rsidRDefault="000C756B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2E7E15A" w14:textId="77777777" w:rsidR="000C756B" w:rsidRDefault="000C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57C7" w14:textId="7259459A" w:rsidR="007F7B70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5FB3943" wp14:editId="207FC498">
          <wp:simplePos x="0" y="0"/>
          <wp:positionH relativeFrom="column">
            <wp:posOffset>5147310</wp:posOffset>
          </wp:positionH>
          <wp:positionV relativeFrom="paragraph">
            <wp:posOffset>-304165</wp:posOffset>
          </wp:positionV>
          <wp:extent cx="1784350" cy="506095"/>
          <wp:effectExtent l="0" t="0" r="6350" b="8255"/>
          <wp:wrapSquare wrapText="bothSides"/>
          <wp:docPr id="134148916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7BD520C">
              <wp:simplePos x="0" y="0"/>
              <wp:positionH relativeFrom="column">
                <wp:posOffset>-205740</wp:posOffset>
              </wp:positionH>
              <wp:positionV relativeFrom="paragraph">
                <wp:posOffset>-265430</wp:posOffset>
              </wp:positionV>
              <wp:extent cx="5568950" cy="11176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8950" cy="11176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2B45F967" w:rsidR="00D96000" w:rsidRDefault="00AB687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B6D7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ECUADOR </w:t>
                          </w:r>
                          <w:r w:rsidR="000C02C1" w:rsidRPr="004B6D7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 TU ALCANCE</w:t>
                          </w:r>
                        </w:p>
                        <w:p w14:paraId="4D5B7220" w14:textId="23DF6266" w:rsidR="004B6D77" w:rsidRPr="004B6D77" w:rsidRDefault="004B6D7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desde Guadalajara</w:t>
                          </w:r>
                        </w:p>
                        <w:p w14:paraId="2258FF71" w14:textId="2F06F6CF" w:rsidR="007F7B70" w:rsidRPr="00072EA9" w:rsidRDefault="00AB687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1045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0C02C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337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6.2pt;margin-top:-20.9pt;width:438.5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2B45F967" w:rsidR="00D96000" w:rsidRDefault="00AB687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B6D7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ECUADOR </w:t>
                    </w:r>
                    <w:r w:rsidR="000C02C1" w:rsidRPr="004B6D7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 TU ALCANCE</w:t>
                    </w:r>
                  </w:p>
                  <w:p w14:paraId="4D5B7220" w14:textId="23DF6266" w:rsidR="004B6D77" w:rsidRPr="004B6D77" w:rsidRDefault="004B6D7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desde Guadalajara</w:t>
                    </w:r>
                  </w:p>
                  <w:p w14:paraId="2258FF71" w14:textId="2F06F6CF" w:rsidR="007F7B70" w:rsidRPr="00072EA9" w:rsidRDefault="00AB6873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1045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0C02C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337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5AFB7944">
          <wp:simplePos x="0" y="0"/>
          <wp:positionH relativeFrom="margin">
            <wp:posOffset>3813810</wp:posOffset>
          </wp:positionH>
          <wp:positionV relativeFrom="paragraph">
            <wp:posOffset>96520</wp:posOffset>
          </wp:positionV>
          <wp:extent cx="1590675" cy="831850"/>
          <wp:effectExtent l="0" t="0" r="9525" b="0"/>
          <wp:wrapThrough wrapText="bothSides">
            <wp:wrapPolygon edited="0">
              <wp:start x="10089" y="4452"/>
              <wp:lineTo x="7760" y="7420"/>
              <wp:lineTo x="7760" y="9893"/>
              <wp:lineTo x="8795" y="13356"/>
              <wp:lineTo x="2069" y="15334"/>
              <wp:lineTo x="0" y="16818"/>
              <wp:lineTo x="517" y="20776"/>
              <wp:lineTo x="20953" y="20776"/>
              <wp:lineTo x="21471" y="16818"/>
              <wp:lineTo x="20177" y="15829"/>
              <wp:lineTo x="12417" y="13356"/>
              <wp:lineTo x="13969" y="9893"/>
              <wp:lineTo x="13710" y="7915"/>
              <wp:lineTo x="11382" y="4452"/>
              <wp:lineTo x="10089" y="4452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557"/>
                  <a:stretch/>
                </pic:blipFill>
                <pic:spPr bwMode="auto">
                  <a:xfrm>
                    <a:off x="0" y="0"/>
                    <a:ext cx="159067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</w:t>
    </w:r>
  </w:p>
  <w:p w14:paraId="7D1E3EC2" w14:textId="1A587877" w:rsidR="004B6D77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</w:p>
  <w:p w14:paraId="0BED8DF6" w14:textId="5E88A97C" w:rsidR="004B6D77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</w:p>
  <w:p w14:paraId="477EE869" w14:textId="561C8584" w:rsidR="004B6D77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</w:p>
  <w:p w14:paraId="1E963E9C" w14:textId="77777777" w:rsidR="004B6D77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</w:p>
  <w:p w14:paraId="05AB80EB" w14:textId="2A9532E9" w:rsidR="004B6D77" w:rsidRPr="004B6D77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7C5C82"/>
    <w:multiLevelType w:val="hybridMultilevel"/>
    <w:tmpl w:val="A470E9A0"/>
    <w:lvl w:ilvl="0" w:tplc="3E6E5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3C2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2D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542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945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CF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8E8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46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2D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D66DF"/>
    <w:multiLevelType w:val="multilevel"/>
    <w:tmpl w:val="7996E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7D7226"/>
    <w:multiLevelType w:val="multilevel"/>
    <w:tmpl w:val="B2CCB8F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4"/>
  </w:num>
  <w:num w:numId="4" w16cid:durableId="1033921887">
    <w:abstractNumId w:val="22"/>
  </w:num>
  <w:num w:numId="5" w16cid:durableId="353725778">
    <w:abstractNumId w:val="15"/>
  </w:num>
  <w:num w:numId="6" w16cid:durableId="1716585056">
    <w:abstractNumId w:val="25"/>
  </w:num>
  <w:num w:numId="7" w16cid:durableId="844133380">
    <w:abstractNumId w:val="9"/>
  </w:num>
  <w:num w:numId="8" w16cid:durableId="1397362128">
    <w:abstractNumId w:val="3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3"/>
  </w:num>
  <w:num w:numId="15" w16cid:durableId="1904682630">
    <w:abstractNumId w:val="18"/>
  </w:num>
  <w:num w:numId="16" w16cid:durableId="460078524">
    <w:abstractNumId w:val="16"/>
  </w:num>
  <w:num w:numId="17" w16cid:durableId="1968504851">
    <w:abstractNumId w:val="20"/>
  </w:num>
  <w:num w:numId="18" w16cid:durableId="1167555093">
    <w:abstractNumId w:val="21"/>
  </w:num>
  <w:num w:numId="19" w16cid:durableId="598945982">
    <w:abstractNumId w:val="19"/>
  </w:num>
  <w:num w:numId="20" w16cid:durableId="1140269920">
    <w:abstractNumId w:val="5"/>
  </w:num>
  <w:num w:numId="21" w16cid:durableId="633562103">
    <w:abstractNumId w:val="2"/>
  </w:num>
  <w:num w:numId="22" w16cid:durableId="1784615150">
    <w:abstractNumId w:val="26"/>
  </w:num>
  <w:num w:numId="23" w16cid:durableId="992415346">
    <w:abstractNumId w:val="27"/>
  </w:num>
  <w:num w:numId="24" w16cid:durableId="1240748330">
    <w:abstractNumId w:val="12"/>
  </w:num>
  <w:num w:numId="25" w16cid:durableId="61025703">
    <w:abstractNumId w:val="6"/>
  </w:num>
  <w:num w:numId="26" w16cid:durableId="408967372">
    <w:abstractNumId w:val="4"/>
  </w:num>
  <w:num w:numId="27" w16cid:durableId="513423557">
    <w:abstractNumId w:val="7"/>
  </w:num>
  <w:num w:numId="28" w16cid:durableId="796030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2AB"/>
    <w:rsid w:val="00017862"/>
    <w:rsid w:val="00025024"/>
    <w:rsid w:val="0002598A"/>
    <w:rsid w:val="00072EA9"/>
    <w:rsid w:val="000B0A80"/>
    <w:rsid w:val="000C02C1"/>
    <w:rsid w:val="000C756B"/>
    <w:rsid w:val="000D785B"/>
    <w:rsid w:val="00104162"/>
    <w:rsid w:val="00121872"/>
    <w:rsid w:val="00121D3F"/>
    <w:rsid w:val="001308DE"/>
    <w:rsid w:val="001760D9"/>
    <w:rsid w:val="001934F5"/>
    <w:rsid w:val="00196D15"/>
    <w:rsid w:val="00197448"/>
    <w:rsid w:val="00197F8C"/>
    <w:rsid w:val="001E559D"/>
    <w:rsid w:val="00206A52"/>
    <w:rsid w:val="00210DC1"/>
    <w:rsid w:val="00253EC6"/>
    <w:rsid w:val="00260703"/>
    <w:rsid w:val="002A3E36"/>
    <w:rsid w:val="002B20BB"/>
    <w:rsid w:val="002E2148"/>
    <w:rsid w:val="002E4D0B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B6D77"/>
    <w:rsid w:val="004D686D"/>
    <w:rsid w:val="004F3ADB"/>
    <w:rsid w:val="00523F7C"/>
    <w:rsid w:val="0053030D"/>
    <w:rsid w:val="005507FE"/>
    <w:rsid w:val="005679E5"/>
    <w:rsid w:val="005D0ABF"/>
    <w:rsid w:val="00600CC3"/>
    <w:rsid w:val="00611625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03614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1CCA"/>
    <w:rsid w:val="00A1676A"/>
    <w:rsid w:val="00A322C8"/>
    <w:rsid w:val="00A32A11"/>
    <w:rsid w:val="00A455A6"/>
    <w:rsid w:val="00A979AE"/>
    <w:rsid w:val="00AA302B"/>
    <w:rsid w:val="00AB0E37"/>
    <w:rsid w:val="00AB6873"/>
    <w:rsid w:val="00AD6F6E"/>
    <w:rsid w:val="00B025E7"/>
    <w:rsid w:val="00B11AFA"/>
    <w:rsid w:val="00B159FC"/>
    <w:rsid w:val="00B2227C"/>
    <w:rsid w:val="00B26714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BF5640"/>
    <w:rsid w:val="00C037B4"/>
    <w:rsid w:val="00C1510A"/>
    <w:rsid w:val="00C448B7"/>
    <w:rsid w:val="00C56C95"/>
    <w:rsid w:val="00C709F7"/>
    <w:rsid w:val="00C82CCD"/>
    <w:rsid w:val="00C90CC1"/>
    <w:rsid w:val="00C952F3"/>
    <w:rsid w:val="00C97FB6"/>
    <w:rsid w:val="00CE0C8F"/>
    <w:rsid w:val="00CF0485"/>
    <w:rsid w:val="00D2140A"/>
    <w:rsid w:val="00D31127"/>
    <w:rsid w:val="00D3376A"/>
    <w:rsid w:val="00D71BE3"/>
    <w:rsid w:val="00D96000"/>
    <w:rsid w:val="00DC6E55"/>
    <w:rsid w:val="00DD2475"/>
    <w:rsid w:val="00DD5938"/>
    <w:rsid w:val="00DE25BD"/>
    <w:rsid w:val="00DF16A9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A6C98"/>
    <w:rsid w:val="00FC572C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StyleSquare">
    <w:name w:val="StyleSquare"/>
    <w:rsid w:val="00196D15"/>
    <w:rPr>
      <w:rFonts w:ascii="Calibri" w:eastAsia="Calibri" w:hAnsi="Calibri" w:cs="Calibri"/>
      <w:b w:val="0"/>
      <w:bCs w:val="0"/>
      <w:color w:val="5A5A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2</cp:revision>
  <dcterms:created xsi:type="dcterms:W3CDTF">2026-06-04T17:07:00Z</dcterms:created>
  <dcterms:modified xsi:type="dcterms:W3CDTF">2026-06-04T17:07:00Z</dcterms:modified>
</cp:coreProperties>
</file>