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SALVADOR DE BAHÍA, RÍO DE JANEIRO, FOZ DE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IGUAZÚ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9 días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Llegadas: Diarias a diciembre 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Mínimo 2 pasajeros, consulta suplemento por pasajero viajando solo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1|</w:t>
      </w:r>
      <w:r w:rsidDel="00000000" w:rsidR="00000000" w:rsidRPr="00000000">
        <w:rPr>
          <w:sz w:val="24"/>
          <w:szCs w:val="24"/>
          <w:rtl w:val="0"/>
        </w:rPr>
        <w:t xml:space="preserve"> Guadalajara – Salvador Bahía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Llegada, asistencia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y traslado al hotel.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2|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Salvador Bahía – Visita de ciudad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Visita del Pelourinho, el centro histórico de la ciudad, declarado patrimonio de la humanidad por la UNESCO. Destaca por la arquitectura colonial barroca con coloridas casas y calles empinadas y adoquinadas, junto con la Catedral, Iglesia de San Francisco y otras iglesias que podrán contemplar en un recorrido a pie.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3|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Salvador Bahía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Día libre para seguir disfrutando de esta afro-colonial ciudad y sus playas.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Alojamiento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Gotham" w:cs="Gotham" w:eastAsia="Gotham" w:hAnsi="Gotham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4|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Salvador Bahía – Río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Traslado al aeropuerto para tomar el vuelo con destino 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Río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de Janeiro.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(Vuelo no incluido).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Llegada, recepción en el aeropuerto y traslado al hotel.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5|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Río de Janeiro – Excursión Cristo del Corcovado y Pan de Azúcar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El tour se inicia con la visita al Corcovado. Desde lo alto, se aprecia una linda vista de la ciudad, incluyendo la Bahía de Guanabara, las playas de la Zona Sur y la Laguna Rodrigo de Freitas. La estatua, localizada a 710 metros por encima del nivel del mar, fue inaugurada en 1931. En seguida parada para almuerzo en una típica churrasquería.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Después del almuerzo, nuestro tour seguirá al centro de la ciudad donde haremos el city tour conociendo la Catedral Metropolitana, en forma de pirámide con diámetro interno de 96 metros y altura de 80 metros, seguido de visita al Pan de Azúcar, que es hecha en 2 etapas por un teleférico suspendido por cabos de acero. La primera etapa conecta la Playa Roja al Monte de la urca, localizado a 215 metros de altitud y de donde se tiene una bella vista de la Bahía de Guanabara y sus islas, del parque de Flamengo, del monte del Corcovado y el puente Rio-Niterói. A partir del Monte de la Urca, comienza la segunda etapa del viaje rumbo al Monte del Pan de Azúcar a 395 metros, de donde se puede avistar, de un ángulo único, la playa de Copacabana y la Fortaleza de Santa Cruz y algunas playas de Niterói. Por la tarde regreso al hotel.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6|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Río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Día libre para actividades personales.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7|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Río de Janeiro – Iguazú – Excursión cataratas brasileñas 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Traslado al aeropuerto para tomar el vuelo con destino a Iguazú.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(Vuelo no incluido).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Calibri" w:cs="Calibri" w:eastAsia="Calibri" w:hAnsi="Calibri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Nota: Vuelo recomendable tiene que llegar antes de las 10AM.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Calibri" w:cs="Calibri" w:eastAsia="Calibri" w:hAnsi="Calibri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Nos dirigiremos a las cataratas del Iguazú. A los lados de la Carretera a las Cataratas, hasta el Parque Nacional del Iguazú, fundado en 1939 y declarado por la UNESCO como Patrimonio Natural de la Humanidad se aprecia la flora y fauna protegida. Por pasarelas que rodean el cañón del Río Iguazú se observan decenas de cascadas hasta llegar a los pies del Salto Floriano, que tiene acceso al ascensor ya la mirante, desde el cual se tiene una vista frontal y completa de la Garganta del Diablo. Regreso y tarde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8|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Iguazú – Excursión a las cataratas lado argentino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Vamos a cruzar la frontera y descubrir la imponente vista de las Cataratas del Iguazú desde el lado argentino. Un recorrido fascinante por senderos que lo conectarán con la belleza natural en su máxima expresión.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 Alojamiento.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DÍA 9|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Iguazú –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A la hora coordinada, traslado al aeropuerto para tomar el vuelo con destino Guadalajara.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Fin de nuestros servicios.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aeropuerto – hotel – aeropuerto en servicio compartido.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3 noches en Salvador, 3 noches en Rio de Janeiro y 2 noches en Iguazú con desayunos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Visita de ciudad de Salvador en servicio compartido.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Excursión Corcovado y Pan de Azúcar con almuerzo en servicio compartido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Excursión a las cataratas de Iguazú del lado argentino y brasileño en servicio compartido.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Tarjeta Básica de asistencia al viajero.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Servicios, excursiones o comidas no especificadas.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Boletos de avión internos e internacionales.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Gastos personales.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Propinas a mucamas, botones, guías, chóferes.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50.0" w:type="dxa"/>
        <w:jc w:val="center"/>
        <w:tblLayout w:type="fixed"/>
        <w:tblLook w:val="0400"/>
      </w:tblPr>
      <w:tblGrid>
        <w:gridCol w:w="2757"/>
        <w:gridCol w:w="4455"/>
        <w:gridCol w:w="638"/>
        <w:tblGridChange w:id="0">
          <w:tblGrid>
            <w:gridCol w:w="2757"/>
            <w:gridCol w:w="4455"/>
            <w:gridCol w:w="638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3"/>
            <w:tcBorders>
              <w:top w:color="0563c1" w:space="0" w:sz="6" w:val="single"/>
              <w:left w:color="0563c1" w:space="0" w:sz="6" w:val="single"/>
              <w:bottom w:color="0563c1" w:space="0" w:sz="6" w:val="single"/>
              <w:right w:color="0563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LISTA DE HOTELES (Previstos o similares)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CIUDAD</w:t>
            </w:r>
          </w:p>
        </w:tc>
        <w:tc>
          <w:tcPr>
            <w:tcBorders>
              <w:bottom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SALVADOR DE BAHÍA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 VICTORIA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CASA DI VINA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HOTEL DA BAHIA BY WISH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AMERICAS COPACABANA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WINDSOR EXCELSIOR COPACABANA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CALIFORNIA BY WINDSOR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FOZ DE IGUAZÚ 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VIALE TOWER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VIALE CATARATAS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SANMA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02.0" w:type="dxa"/>
        <w:jc w:val="center"/>
        <w:tblLayout w:type="fixed"/>
        <w:tblLook w:val="0400"/>
      </w:tblPr>
      <w:tblGrid>
        <w:gridCol w:w="4293"/>
        <w:gridCol w:w="1191"/>
        <w:gridCol w:w="1191"/>
        <w:gridCol w:w="1227"/>
        <w:tblGridChange w:id="0">
          <w:tblGrid>
            <w:gridCol w:w="4293"/>
            <w:gridCol w:w="1191"/>
            <w:gridCol w:w="1191"/>
            <w:gridCol w:w="1227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gridSpan w:val="4"/>
            <w:tcBorders>
              <w:top w:color="0563c1" w:space="0" w:sz="6" w:val="single"/>
              <w:left w:color="0563c1" w:space="0" w:sz="6" w:val="single"/>
              <w:bottom w:color="0563c1" w:space="0" w:sz="6" w:val="single"/>
              <w:right w:color="0563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PRECIO POR PERSONA EN USD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TURISTA 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TERRESTRE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1010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1530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TERRESTRE Y AÉREO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1880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1810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2330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PRIMERA 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TERRESTRE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1380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1270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TERRESTRE Y AÉREO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2180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2070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2820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SUPERIOR 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TERRESTRE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1590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2200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TERRESTRE Y AÉREO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2390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3000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63.0" w:type="dxa"/>
        <w:jc w:val="center"/>
        <w:tblLayout w:type="fixed"/>
        <w:tblLook w:val="0400"/>
      </w:tblPr>
      <w:tblGrid>
        <w:gridCol w:w="7763"/>
        <w:tblGridChange w:id="0">
          <w:tblGrid>
            <w:gridCol w:w="7763"/>
          </w:tblGrid>
        </w:tblGridChange>
      </w:tblGrid>
      <w:tr>
        <w:trPr>
          <w:cantSplit w:val="0"/>
          <w:trHeight w:val="39" w:hRule="atLeast"/>
          <w:tblHeader w:val="0"/>
        </w:trPr>
        <w:tc>
          <w:tcPr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RUTA AÉREA PROPUESTA GDL/PTY/GRU/SSA/GIG/IGU/GIG/PTY/GDL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IMPUESTOS (SUJETOS A CONFIRMACIÓN): 645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SUPLEMENTO PASAJERO VIAJANDO SOLO: 200 USD</w:t>
            </w:r>
          </w:p>
        </w:tc>
      </w:tr>
      <w:tr>
        <w:trPr>
          <w:cantSplit w:val="0"/>
          <w:trHeight w:val="1237.5390624999998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EL PRECIO TERRESTRE CON AÉREO ES ORIENTATIVO, PUEDE SURGIR CAMBIOS DEPENDIENDO LA TEMPORADA.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CONSULTE TARIFA DE MENOR CON SU ASESOR.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PRECIOS SUJETOS A DISPONIBILIDAD Y A CAMBIOS SIN PREVIO AVISO. TARIFAS NO APLICAN PARA CONGRESOS, EVENTOS ESPECIALES, NAVIDAD, SEMANA SANTA, DIAS FERIADOS.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SUPLEMENTO DESDE EL INTERIOR DEL PAÍS, CONSULTAR TARIFA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VIGENCIA: 10 DE DICIEMBRE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  <w:font w:name="Courier New"/>
  <w:font w:name="Gotha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183774307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Fonts w:ascii="Arial" w:cs="Arial" w:eastAsia="Arial" w:hAnsi="Arial"/>
        <w:color w:val="000000"/>
        <w:sz w:val="48"/>
        <w:szCs w:val="48"/>
        <w:rtl w:val="0"/>
      </w:rPr>
      <w:t xml:space="preserve">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-748664</wp:posOffset>
          </wp:positionH>
          <wp:positionV relativeFrom="paragraph">
            <wp:posOffset>-459104</wp:posOffset>
          </wp:positionV>
          <wp:extent cx="8711807" cy="1485941"/>
          <wp:effectExtent b="0" l="0" r="0" t="0"/>
          <wp:wrapNone/>
          <wp:docPr id="18377430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1807" cy="14859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5037795</wp:posOffset>
          </wp:positionH>
          <wp:positionV relativeFrom="paragraph">
            <wp:posOffset>-207009</wp:posOffset>
          </wp:positionV>
          <wp:extent cx="1679419" cy="449164"/>
          <wp:effectExtent b="0" l="0" r="0" t="0"/>
          <wp:wrapNone/>
          <wp:docPr id="18377430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-185101</wp:posOffset>
              </wp:positionH>
              <wp:positionV relativeFrom="paragraph">
                <wp:posOffset>-282891</wp:posOffset>
              </wp:positionV>
              <wp:extent cx="5695950" cy="1139825"/>
              <wp:effectExtent b="0" l="0" r="0" t="0"/>
              <wp:wrapNone/>
              <wp:docPr id="183774307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02788" y="3214850"/>
                        <a:ext cx="5686425" cy="113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CORAZÓN BRASILEÑO 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desde Guadalajara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557- C2025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2060"/>
                              <w:sz w:val="20"/>
                              <w:vertAlign w:val="baseline"/>
                            </w:rPr>
                            <w:t xml:space="preserve">                                                        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-185101</wp:posOffset>
              </wp:positionH>
              <wp:positionV relativeFrom="paragraph">
                <wp:posOffset>-282891</wp:posOffset>
              </wp:positionV>
              <wp:extent cx="5695950" cy="1139825"/>
              <wp:effectExtent b="0" l="0" r="0" t="0"/>
              <wp:wrapNone/>
              <wp:docPr id="183774307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5950" cy="1139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3845560</wp:posOffset>
          </wp:positionH>
          <wp:positionV relativeFrom="paragraph">
            <wp:posOffset>192047</wp:posOffset>
          </wp:positionV>
          <wp:extent cx="1418498" cy="723900"/>
          <wp:effectExtent b="0" l="0" r="0" t="0"/>
          <wp:wrapNone/>
          <wp:docPr id="183774307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9445" l="0" r="0" t="13869"/>
                  <a:stretch>
                    <a:fillRect/>
                  </a:stretch>
                </pic:blipFill>
                <pic:spPr>
                  <a:xfrm>
                    <a:off x="0" y="0"/>
                    <a:ext cx="1418498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Fonts w:ascii="Arial" w:cs="Arial" w:eastAsia="Arial" w:hAnsi="Arial"/>
        <w:color w:val="000000"/>
        <w:sz w:val="48"/>
        <w:szCs w:val="48"/>
        <w:rtl w:val="0"/>
      </w:rPr>
      <w:t xml:space="preserve">                  </w:t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bCs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qFormat w:val="1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1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paragraph" w:styleId="paragraft" w:customStyle="1">
    <w:name w:val="paragraft"/>
    <w:basedOn w:val="Normal"/>
    <w:rsid w:val="00DD5938"/>
    <w:pPr>
      <w:spacing w:after="0" w:line="259" w:lineRule="auto"/>
      <w:jc w:val="both"/>
    </w:pPr>
    <w:rPr>
      <w:rFonts w:ascii="Calibri" w:cs="Calibri" w:eastAsia="Calibri" w:hAnsi="Calibri"/>
      <w:sz w:val="20"/>
      <w:szCs w:val="20"/>
      <w:lang w:bidi="ar-SA" w:eastAsia="es-PE" w:val="es-ES"/>
    </w:rPr>
  </w:style>
  <w:style w:type="paragraph" w:styleId="P-Styleguiado" w:customStyle="1">
    <w:name w:val="P-Styleguiado"/>
    <w:basedOn w:val="Normal"/>
    <w:rsid w:val="007203D6"/>
    <w:pPr>
      <w:spacing w:after="5" w:line="259" w:lineRule="auto"/>
    </w:pPr>
    <w:rPr>
      <w:rFonts w:ascii="Calibri" w:cs="Calibri" w:eastAsia="Calibri" w:hAnsi="Calibri"/>
      <w:sz w:val="20"/>
      <w:szCs w:val="20"/>
      <w:lang w:bidi="ar-SA" w:eastAsia="es-PE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9hnNHCjywSZJTFbr9zHGGy3sA==">CgMxLjA4AHIhMTNmckFjbW5kMHVYSkxjVkk1d0x3UlN2NzJseXlJaHFL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2026-02-03T23:54:00Z</dcterms:created>
  <dc:creator>Operadora</dc:creator>
</cp:coreProperties>
</file>