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64F3" w14:textId="09B1B48B" w:rsidR="00BB52E8" w:rsidRDefault="00503A32" w:rsidP="00CC79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KUALA LUMPUR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SINGAPUR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BALI (NUSA DUA)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BEDUGUL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LOVINA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KINTAMANI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CANDIDASA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UBUD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PLAYAS DE BALI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CC79D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DENPASAR</w:t>
      </w:r>
    </w:p>
    <w:p w14:paraId="219D477D" w14:textId="77777777" w:rsidR="00CC79DE" w:rsidRPr="00056F0A" w:rsidRDefault="00CC79DE" w:rsidP="00056F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bCs/>
          <w:color w:val="FF0000"/>
          <w:sz w:val="28"/>
          <w:szCs w:val="28"/>
          <w:lang w:eastAsia="fr-FR"/>
        </w:rPr>
      </w:pPr>
    </w:p>
    <w:p w14:paraId="75B26CE8" w14:textId="598BEA77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F07B5">
        <w:rPr>
          <w:rFonts w:asciiTheme="minorHAnsi" w:eastAsia="Arial" w:hAnsiTheme="minorHAnsi" w:cstheme="minorHAnsi"/>
          <w:b/>
          <w:color w:val="002060"/>
          <w:sz w:val="24"/>
          <w:szCs w:val="24"/>
        </w:rPr>
        <w:t>14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6566C27F" w:rsidR="00CB0CC0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0449D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 en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0449D7">
        <w:rPr>
          <w:rFonts w:asciiTheme="minorHAnsi" w:eastAsia="Arial" w:hAnsiTheme="minorHAnsi" w:cstheme="minorHAnsi"/>
          <w:b/>
          <w:color w:val="002060"/>
          <w:sz w:val="24"/>
          <w:szCs w:val="24"/>
        </w:rPr>
        <w:t>periodo</w:t>
      </w:r>
      <w:r w:rsidR="005F07B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0449D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del 1 abril 2026 al 31 marzo 2027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Pr="00123328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A98AC5C" w14:textId="1B4C3593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01 |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>KUALA LUMPUR</w:t>
      </w:r>
    </w:p>
    <w:p w14:paraId="7E193237" w14:textId="55B00C36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Llegada al aeropuerto de Kuala Lumpur en Malasia. </w:t>
      </w:r>
      <w:r w:rsidRPr="00AE03AF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Recepción y traslado al hotel.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7A85E4B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13635E5" w14:textId="43CB99B3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02 |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>KUALA LUMPUR</w:t>
      </w:r>
    </w:p>
    <w:p w14:paraId="17BE5315" w14:textId="77777777" w:rsid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E03A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AE03AF">
        <w:rPr>
          <w:rFonts w:asciiTheme="minorHAnsi" w:eastAsia="Arial" w:hAnsiTheme="minorHAnsi" w:cstheme="minorHAnsi"/>
          <w:b/>
          <w:color w:val="002060"/>
          <w:sz w:val="20"/>
          <w:szCs w:val="20"/>
        </w:rPr>
        <w:t>Reunión con el guía en el hall del hotel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efectuar la visita de medio día de la ciudad incluyendo: El nuevo Palacio del Rey y la Mezquita Nacional (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Masjid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Negara). Haremos una parada para tomar una foto de las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Petronas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Twin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Towers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También veremos el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Tugu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Nagara o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War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Memorial, donde se honra a los que perecieron en la guerra. Pasaremos por la antigua estación de tren, donde iremos 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Merdeka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Square, donde se puede admirar la Corte Federal de estilo morisco y el Cricket Club de estilo Tudor. También se visitarán los espectaculares seis niveles del Templo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Tean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Hou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uno de los más grandes en el sudeste de Asia. Resto del día libre. </w:t>
      </w:r>
      <w:r w:rsidRPr="00AE03AF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CEFDED5" w14:textId="77777777" w:rsidR="00AE03AF" w:rsidRPr="005F07B5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</w:p>
    <w:p w14:paraId="7B860BA4" w14:textId="4E182378" w:rsidR="005F07B5" w:rsidRPr="00AE03AF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0"/>
          <w:szCs w:val="20"/>
        </w:rPr>
      </w:pPr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Nota: La mezquita Nacional no puede ser visitada el viernes. Si el Templo </w:t>
      </w:r>
      <w:proofErr w:type="spellStart"/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>Tean</w:t>
      </w:r>
      <w:proofErr w:type="spellEnd"/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</w:t>
      </w:r>
      <w:proofErr w:type="spellStart"/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>Hou</w:t>
      </w:r>
      <w:proofErr w:type="spellEnd"/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estuviera cerrado al público por ceremonias privadas o cultos especiales, </w:t>
      </w:r>
      <w:r w:rsidR="00CC79DE">
        <w:rPr>
          <w:rFonts w:asciiTheme="minorHAnsi" w:eastAsia="Arial" w:hAnsiTheme="minorHAnsi" w:cstheme="minorHAnsi"/>
          <w:b/>
          <w:color w:val="EE0000"/>
          <w:sz w:val="20"/>
          <w:szCs w:val="20"/>
        </w:rPr>
        <w:t>é</w:t>
      </w:r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>sta parada sería reemplazada con una visita al Museo Nacional (</w:t>
      </w:r>
      <w:proofErr w:type="spellStart"/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>Muzium</w:t>
      </w:r>
      <w:proofErr w:type="spellEnd"/>
      <w:r w:rsidRPr="00AE03AF">
        <w:rPr>
          <w:rFonts w:asciiTheme="minorHAnsi" w:eastAsia="Arial" w:hAnsiTheme="minorHAnsi" w:cstheme="minorHAnsi"/>
          <w:b/>
          <w:color w:val="EE0000"/>
          <w:sz w:val="20"/>
          <w:szCs w:val="20"/>
        </w:rPr>
        <w:t xml:space="preserve"> Negara).</w:t>
      </w:r>
    </w:p>
    <w:p w14:paraId="60799510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3358806C" w14:textId="7E3CF2C2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03 |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>KUALA LUMPUR (MALACCA)</w:t>
      </w:r>
    </w:p>
    <w:p w14:paraId="65438181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E03A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En el día de hoy efectuaremos la visita de día completo 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Malacca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que durante 400 años fue colonizada por portugueses, holandeses, británicos y luego ocupada por los japoneses durante la Segunda Guerra Mundial. Visitaremos la Plaza Holandesa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Stadthuys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Iglesia de Cristo, la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Clocktower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la Fuente de la Reina Victoria. Luego pasaremos por la “Porta de Santiago” la antigua puerta de la fortaleza portuguesa. También veremos el Templo chino más antiguo de Malasia, el Cheng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Hou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Teng.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Almuerzo. Tiempo libre 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en la famosa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Jonker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Street, donde podremos apreciar sus bazares y tiendas de antigüedades. Vuelta a Kuala Lumpur.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9CC1CA2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6736CD5" w14:textId="79B8B249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04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>KUALA LUMPUR – SINGAPUR</w:t>
      </w:r>
    </w:p>
    <w:p w14:paraId="25231C7E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al aeropuerto para salir en vuelo destino Singapur (incluido).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Llegada y traslado al hotel.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F08E3F1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31D6A0C" w14:textId="3BAC1FBF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05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SINGAPUR </w:t>
      </w:r>
    </w:p>
    <w:p w14:paraId="3A7A0B80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de la ciudad de medio día donde veremos el Barrio Cívico, Pandang, Cricket Club, la histórica casa del Parlamento, la Corte Suprema y el Ayuntamiento. Haremos una parada en el Parque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Merlion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Visitaremos el Templo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Thian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Hock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Keng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Haremos un paseo a pie por Chinatown y finalizaremos con la visita al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Sands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Sky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Park, una impresionante maravilla de la ingeniería con forma de barco. Vuelta al hotel.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77180FBA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12057CA" w14:textId="2CE208BD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06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SINGAPUR </w:t>
      </w:r>
    </w:p>
    <w:p w14:paraId="00D4DF17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a disposición de los clientes.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6C623DF" w14:textId="77777777" w:rsidR="00CC79DE" w:rsidRDefault="00CC79DE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1D850B5" w14:textId="77777777" w:rsidR="00CC79DE" w:rsidRDefault="00CC79DE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FFE4171" w14:textId="77777777" w:rsidR="00CC79DE" w:rsidRDefault="00CC79DE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7343AB6" w14:textId="429D1A14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lastRenderedPageBreak/>
        <w:t xml:space="preserve">DÍA 07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>SINGAPUR – BALI (NUSA DUA)</w:t>
      </w:r>
    </w:p>
    <w:p w14:paraId="79BCFFDC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Traslado al aeropuerto para tomar el vuelo (incluido) con destino Denpasar (Bali)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Llegada y traslado al hotel en la zona de Nusa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Dua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0D224D5" w14:textId="77777777" w:rsidR="00CC79DE" w:rsidRPr="00CC79DE" w:rsidRDefault="00CC79DE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DBC0728" w14:textId="0619A4C1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08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NUSA DUA – BEDUGUL – LOVINA </w:t>
      </w:r>
    </w:p>
    <w:p w14:paraId="216B6266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el norte de la isla, visitando la población de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Bedugul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el lago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Beratan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mercado de frutas y flores local. También visitaremos el Templo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Ulundanu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Continuación hacia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Lovina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Beach visitando en ruta una cascada.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FAAA6DE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0D054E3" w14:textId="64250ED2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09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LOVINA – KINTAMANI - CANDIDASA </w:t>
      </w:r>
    </w:p>
    <w:p w14:paraId="135551D3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temprana hacia el Templo de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Beji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en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Sangsit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famoso por los relieves de piedra arenisca rosada. Continuación hacia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Kintamani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a los pies del Monte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Batur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 de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Besakih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un complejo de más de 30 templos ubicados en las laderas volcánicas del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Cunung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Agung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Llegada 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Candidasa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B30B876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721522C" w14:textId="002F6459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10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CANDIDASA – UBUD  </w:t>
      </w:r>
    </w:p>
    <w:p w14:paraId="445A2A84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hacia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Kusamba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un pueblo costero lleno de colorido. Continuación hacia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Kerta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Gosa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visita de la antigua Corte de Justicia y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Klungkung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Finalmente, llegada a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Ubud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principal centro de la colonia artística de Bali.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21DDD33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EBBBFCC" w14:textId="10EF09A2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11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UBUD – PLAYAS DE BALI  </w:t>
      </w:r>
    </w:p>
    <w:p w14:paraId="63B9DFE1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 visitaremos las poblaciones de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Celuk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: importante centro artesanal de trabajos en joyería de oro y plata y Mas: ciudad dedicada fundamentalmente a la producción de tallas en maderas nobles. Por la tarde, visita del bosque de monos de Alas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Kedaton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conjunto de templos de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Mengwi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el templo de </w:t>
      </w:r>
      <w:proofErr w:type="spellStart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Tanah</w:t>
      </w:r>
      <w:proofErr w:type="spellEnd"/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Lot. Finalmente, llegada al hotel de playa de Bali.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</w:p>
    <w:p w14:paraId="6CCEB4B8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72B0959" w14:textId="705092B0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DÍAS 12 Y 13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PLAYAS DE BALI  </w:t>
      </w:r>
    </w:p>
    <w:p w14:paraId="59127AB7" w14:textId="77777777" w:rsidR="005F07B5" w:rsidRP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Desayunos diarios.</w:t>
      </w:r>
      <w:r w:rsidRPr="005F07B5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Días libres a disposición de los clientes para disfrutar de las maravillosas playas. Alojamiento.</w:t>
      </w:r>
    </w:p>
    <w:p w14:paraId="34FAA116" w14:textId="77777777" w:rsidR="005F07B5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E02A455" w14:textId="672A148E" w:rsidR="005F07B5" w:rsidRPr="00AE03AF" w:rsidRDefault="00AE03AF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14 </w:t>
      </w:r>
      <w:r w:rsidR="00CC79DE"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>|</w:t>
      </w:r>
      <w:r w:rsidRPr="00CC79D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>PLAYAS DE BALI – DENPASAR – CIUDAD DE OR</w:t>
      </w:r>
      <w:r w:rsidR="00503A32">
        <w:rPr>
          <w:rFonts w:asciiTheme="minorHAnsi" w:eastAsia="Arial" w:hAnsiTheme="minorHAnsi" w:cstheme="minorHAnsi"/>
          <w:b/>
          <w:color w:val="EE0000"/>
          <w:sz w:val="24"/>
          <w:szCs w:val="24"/>
        </w:rPr>
        <w:t>Í</w:t>
      </w:r>
      <w:r w:rsidRPr="00AE03AF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GEN  </w:t>
      </w:r>
    </w:p>
    <w:p w14:paraId="47248A63" w14:textId="16671478" w:rsidR="000449D7" w:rsidRPr="00CC79DE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CC79D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Tiempo libre hasta la hora del traslado al aeropuerto de Denpasar para tomar el vuelo de salida. Fin de nuestros servicios.</w:t>
      </w:r>
    </w:p>
    <w:p w14:paraId="1CA63A31" w14:textId="77777777" w:rsidR="005F07B5" w:rsidRDefault="005F07B5" w:rsidP="005F07B5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3316E2B" w14:textId="48A6EED0" w:rsidR="00975738" w:rsidRDefault="00A455A6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0DBA4824" w14:textId="77777777" w:rsidR="00AB1D19" w:rsidRDefault="00AB1D19" w:rsidP="0097573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D2CEA26" w14:textId="5A451A48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(sin guía en Kuala Lumpur y Singapur).</w:t>
      </w:r>
    </w:p>
    <w:p w14:paraId="4B41DFF5" w14:textId="77777777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Transporte según itinerario.</w:t>
      </w: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ab/>
      </w:r>
    </w:p>
    <w:p w14:paraId="1A1F1262" w14:textId="43EF37F1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hispana.</w:t>
      </w:r>
    </w:p>
    <w:p w14:paraId="3510E702" w14:textId="62C4C65D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Estancia en 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 indicados</w:t>
      </w: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desayuno </w:t>
      </w:r>
    </w:p>
    <w:p w14:paraId="647B1469" w14:textId="19A279B8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Un almuerzo día 3 del itinerario.</w:t>
      </w:r>
    </w:p>
    <w:p w14:paraId="60CAF46E" w14:textId="4EC521CC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Vuelos Kuala Lumpur / Singapur / Denpasar.</w:t>
      </w:r>
    </w:p>
    <w:p w14:paraId="65101C91" w14:textId="6BC971C9" w:rsidR="005F07B5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Visitas indicadas incluyendo transporte, guías locales de habla española y entradas a los lugares mencionadas.</w:t>
      </w:r>
    </w:p>
    <w:p w14:paraId="015A0B1C" w14:textId="05F97A9A" w:rsidR="006A3D98" w:rsidRPr="005F07B5" w:rsidRDefault="005F07B5" w:rsidP="005F07B5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07B5">
        <w:rPr>
          <w:rFonts w:asciiTheme="minorHAnsi" w:eastAsia="Arial" w:hAnsiTheme="minorHAnsi" w:cstheme="minorHAnsi"/>
          <w:color w:val="002060"/>
          <w:sz w:val="20"/>
          <w:szCs w:val="20"/>
        </w:rPr>
        <w:t>Seguro de viaje.</w:t>
      </w:r>
    </w:p>
    <w:p w14:paraId="38480861" w14:textId="77777777" w:rsidR="005F07B5" w:rsidRDefault="005F07B5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09A182E" w14:textId="77777777" w:rsidR="00CC79DE" w:rsidRDefault="00CC79DE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0FAF624" w14:textId="77777777" w:rsidR="00CC79DE" w:rsidRDefault="00CC79DE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229E60F9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0012F9BB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366E79EC" w14:textId="272685F2" w:rsidR="00C442A5" w:rsidRDefault="00C442A5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Visados</w:t>
      </w:r>
    </w:p>
    <w:p w14:paraId="1E543669" w14:textId="4CA4551E" w:rsidR="002F7466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3C36E8F0" w14:textId="2AAE011A" w:rsidR="00C442A5" w:rsidRDefault="00C442A5" w:rsidP="00C442A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442A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Cenas de gala de Navidad y fin de año. Consultar</w:t>
      </w:r>
      <w:r w:rsidR="006A3D9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140E93E" w14:textId="79EFBF41" w:rsidR="00C442A5" w:rsidRPr="00975738" w:rsidRDefault="00C442A5" w:rsidP="00C442A5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C442A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Suplemento durante periodos festivos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3EF54027" w14:textId="77777777" w:rsidR="00BB52E8" w:rsidRDefault="00BB52E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23A2FDF4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D3D42E2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9373C6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</w:t>
      </w:r>
    </w:p>
    <w:p w14:paraId="278CE95A" w14:textId="5C90FE62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</w:t>
      </w:r>
    </w:p>
    <w:p w14:paraId="27809E91" w14:textId="77777777" w:rsidR="00453DAF" w:rsidRPr="00453DAF" w:rsidRDefault="00453DAF" w:rsidP="00453DAF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3DAF">
        <w:rPr>
          <w:rFonts w:asciiTheme="minorHAnsi" w:eastAsia="Arial" w:hAnsiTheme="minorHAnsi" w:cstheme="minorHAnsi"/>
          <w:color w:val="002060"/>
          <w:sz w:val="20"/>
          <w:szCs w:val="20"/>
        </w:rPr>
        <w:t>El precio de los vuelos internos puede sufrir aumentos sin previo aviso y se informaría precio final en la confirmación de reserva.</w:t>
      </w:r>
    </w:p>
    <w:p w14:paraId="0C4FF606" w14:textId="7D395F73" w:rsidR="00453DAF" w:rsidRPr="00453DAF" w:rsidRDefault="00453DAF" w:rsidP="00453DAF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3DAF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 cada pasajero estar informado de cada visado que necesite y de su tramitación.</w:t>
      </w:r>
    </w:p>
    <w:p w14:paraId="54759D3D" w14:textId="77777777" w:rsidR="00453DAF" w:rsidRDefault="00453DAF" w:rsidP="00453DAF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53DAF">
        <w:rPr>
          <w:rFonts w:asciiTheme="minorHAnsi" w:eastAsia="Arial" w:hAnsiTheme="minorHAnsi" w:cstheme="minorHAnsi"/>
          <w:color w:val="002060"/>
          <w:sz w:val="20"/>
          <w:szCs w:val="20"/>
        </w:rPr>
        <w:t>Gastos cancelación: más de 31 días sin gastos; de 30 días al inicio del tour 100% de gastos.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53D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Si los </w:t>
      </w:r>
      <w:proofErr w:type="spellStart"/>
      <w:r w:rsidRPr="00453DAF">
        <w:rPr>
          <w:rFonts w:asciiTheme="minorHAnsi" w:eastAsia="Arial" w:hAnsiTheme="minorHAnsi" w:cstheme="minorHAnsi"/>
          <w:color w:val="002060"/>
          <w:sz w:val="20"/>
          <w:szCs w:val="20"/>
        </w:rPr>
        <w:t>tkts</w:t>
      </w:r>
      <w:proofErr w:type="spellEnd"/>
      <w:r w:rsidRPr="00453DA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avión están incluidos en el momento de la cancelación, los gastos son totales del 100%.   </w:t>
      </w:r>
    </w:p>
    <w:p w14:paraId="57B6DF7B" w14:textId="65ED1CC5" w:rsidR="003F4C94" w:rsidRDefault="003F4C94" w:rsidP="00453DAF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</w:p>
    <w:p w14:paraId="5104935C" w14:textId="3965F68B" w:rsidR="00BE42B8" w:rsidRPr="00056F0A" w:rsidRDefault="00BE42B8" w:rsidP="00056F0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bidi="ar-SA"/>
        </w:rPr>
      </w:pPr>
      <w:r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056F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 En caso de querer realizarlas tendrán un costo adicional y están sujetas a confirmación</w:t>
      </w:r>
    </w:p>
    <w:p w14:paraId="37961427" w14:textId="3A6732E2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</w:t>
      </w:r>
    </w:p>
    <w:p w14:paraId="3273959D" w14:textId="71E891F6" w:rsidR="00AB1D19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A4EA5CE" w14:textId="77777777" w:rsidR="001F1AA7" w:rsidRDefault="001F1AA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C4079F4" w14:textId="77777777" w:rsidR="00CC79DE" w:rsidRDefault="00CC79D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52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2777"/>
        <w:gridCol w:w="491"/>
      </w:tblGrid>
      <w:tr w:rsidR="00AE03AF" w:rsidRPr="00AE03AF" w14:paraId="1BB2BB88" w14:textId="77777777" w:rsidTr="00AE03AF">
        <w:trPr>
          <w:trHeight w:val="267"/>
          <w:jc w:val="center"/>
        </w:trPr>
        <w:tc>
          <w:tcPr>
            <w:tcW w:w="5278" w:type="dxa"/>
            <w:gridSpan w:val="3"/>
            <w:tcBorders>
              <w:top w:val="single" w:sz="12" w:space="0" w:color="1F4E78"/>
              <w:left w:val="single" w:sz="12" w:space="0" w:color="1F4E78"/>
              <w:bottom w:val="nil"/>
              <w:right w:val="single" w:sz="12" w:space="0" w:color="1F4E78"/>
            </w:tcBorders>
            <w:shd w:val="clear" w:color="000000" w:fill="002060"/>
            <w:noWrap/>
            <w:vAlign w:val="center"/>
            <w:hideMark/>
          </w:tcPr>
          <w:p w14:paraId="0F71CC2E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AE03AF" w:rsidRPr="00AE03AF" w14:paraId="4B4B2C0C" w14:textId="77777777" w:rsidTr="00AE03AF">
        <w:trPr>
          <w:trHeight w:val="258"/>
          <w:jc w:val="center"/>
        </w:trPr>
        <w:tc>
          <w:tcPr>
            <w:tcW w:w="2010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2D11A70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EFFFD9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B4C6E7"/>
            <w:noWrap/>
            <w:vAlign w:val="center"/>
            <w:hideMark/>
          </w:tcPr>
          <w:p w14:paraId="0436F46A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AE03AF" w:rsidRPr="00AE03AF" w14:paraId="69B68ECC" w14:textId="77777777" w:rsidTr="00AE03AF">
        <w:trPr>
          <w:trHeight w:val="267"/>
          <w:jc w:val="center"/>
        </w:trPr>
        <w:tc>
          <w:tcPr>
            <w:tcW w:w="2010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5A247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ar-SA"/>
              </w:rPr>
              <w:t>KUALA LUMPUR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F3013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n-US" w:bidi="ar-SA"/>
              </w:rPr>
              <w:t xml:space="preserve">STRIPES KUALA LUMPUR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933F7CF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3A63E583" w14:textId="77777777" w:rsidTr="00AE03AF">
        <w:trPr>
          <w:trHeight w:val="258"/>
          <w:jc w:val="center"/>
        </w:trPr>
        <w:tc>
          <w:tcPr>
            <w:tcW w:w="2010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1B9116B5" w14:textId="77777777" w:rsidR="00AE03AF" w:rsidRPr="00AE03AF" w:rsidRDefault="00AE03AF" w:rsidP="00AE03A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0D521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MELIA HOTEL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0E9D0F62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PS</w:t>
            </w:r>
          </w:p>
        </w:tc>
      </w:tr>
      <w:tr w:rsidR="00AE03AF" w:rsidRPr="00AE03AF" w14:paraId="78E56F09" w14:textId="77777777" w:rsidTr="00AE03AF">
        <w:trPr>
          <w:trHeight w:val="267"/>
          <w:jc w:val="center"/>
        </w:trPr>
        <w:tc>
          <w:tcPr>
            <w:tcW w:w="2010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8B44C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ar-SA"/>
              </w:rPr>
              <w:t>SINGAPUR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D99C0E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ORCHID SINGAPORE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D0CECE"/>
            <w:noWrap/>
            <w:vAlign w:val="center"/>
            <w:hideMark/>
          </w:tcPr>
          <w:p w14:paraId="034493C4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03E197AF" w14:textId="77777777" w:rsidTr="00AE03AF">
        <w:trPr>
          <w:trHeight w:val="258"/>
          <w:jc w:val="center"/>
        </w:trPr>
        <w:tc>
          <w:tcPr>
            <w:tcW w:w="2010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14E1AC41" w14:textId="77777777" w:rsidR="00AE03AF" w:rsidRPr="00AE03AF" w:rsidRDefault="00AE03AF" w:rsidP="00AE03A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99E719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CONCORDE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D0CECE"/>
            <w:noWrap/>
            <w:vAlign w:val="center"/>
            <w:hideMark/>
          </w:tcPr>
          <w:p w14:paraId="1B436760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PS</w:t>
            </w:r>
          </w:p>
        </w:tc>
      </w:tr>
      <w:tr w:rsidR="00AE03AF" w:rsidRPr="00AE03AF" w14:paraId="05F4DEA3" w14:textId="77777777" w:rsidTr="00AE03AF">
        <w:trPr>
          <w:trHeight w:val="267"/>
          <w:jc w:val="center"/>
        </w:trPr>
        <w:tc>
          <w:tcPr>
            <w:tcW w:w="2010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4C4D5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bidi="ar-SA"/>
              </w:rPr>
              <w:t>BALI (NUSA DUA)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FD1F6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SADARA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2A66EC9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2501AAC6" w14:textId="77777777" w:rsidTr="00AE03AF">
        <w:trPr>
          <w:trHeight w:val="258"/>
          <w:jc w:val="center"/>
        </w:trPr>
        <w:tc>
          <w:tcPr>
            <w:tcW w:w="2010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1E0DD4A1" w14:textId="77777777" w:rsidR="00AE03AF" w:rsidRPr="00AE03AF" w:rsidRDefault="00AE03AF" w:rsidP="00AE03A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2EDEC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AYODYA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6C8E2A82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PS</w:t>
            </w:r>
          </w:p>
        </w:tc>
      </w:tr>
      <w:tr w:rsidR="00AE03AF" w:rsidRPr="00AE03AF" w14:paraId="52DE5D07" w14:textId="77777777" w:rsidTr="00AE03AF">
        <w:trPr>
          <w:trHeight w:val="267"/>
          <w:jc w:val="center"/>
        </w:trPr>
        <w:tc>
          <w:tcPr>
            <w:tcW w:w="2010" w:type="dxa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0136FC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bidi="ar-SA"/>
              </w:rPr>
              <w:t>LOVINA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A73F35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 xml:space="preserve">PURI BAGUS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D0CECE"/>
            <w:noWrap/>
            <w:vAlign w:val="center"/>
            <w:hideMark/>
          </w:tcPr>
          <w:p w14:paraId="5C30B00A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3CF98CCB" w14:textId="77777777" w:rsidTr="00AE03AF">
        <w:trPr>
          <w:trHeight w:val="267"/>
          <w:jc w:val="center"/>
        </w:trPr>
        <w:tc>
          <w:tcPr>
            <w:tcW w:w="2010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3B6E0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bidi="ar-SA"/>
              </w:rPr>
              <w:t>CANDIDASA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B8758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 xml:space="preserve">RAMAYANA CANDIDASA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3573F7E3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229C5AD5" w14:textId="77777777" w:rsidTr="00AE03AF">
        <w:trPr>
          <w:trHeight w:val="258"/>
          <w:jc w:val="center"/>
        </w:trPr>
        <w:tc>
          <w:tcPr>
            <w:tcW w:w="2010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4C9B0C9B" w14:textId="77777777" w:rsidR="00AE03AF" w:rsidRPr="00AE03AF" w:rsidRDefault="00AE03AF" w:rsidP="00AE03A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F6D5F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ALILA MANGGIS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6353D842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PS</w:t>
            </w:r>
          </w:p>
        </w:tc>
      </w:tr>
      <w:tr w:rsidR="00AE03AF" w:rsidRPr="00AE03AF" w14:paraId="4082ED9C" w14:textId="77777777" w:rsidTr="00AE03AF">
        <w:trPr>
          <w:trHeight w:val="267"/>
          <w:jc w:val="center"/>
        </w:trPr>
        <w:tc>
          <w:tcPr>
            <w:tcW w:w="2010" w:type="dxa"/>
            <w:vMerge w:val="restart"/>
            <w:tcBorders>
              <w:top w:val="nil"/>
              <w:left w:val="single" w:sz="12" w:space="0" w:color="1F4E78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5564B5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bidi="ar-SA"/>
              </w:rPr>
              <w:t>UBUD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0570F5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GREEN FIELD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D0CECE"/>
            <w:noWrap/>
            <w:vAlign w:val="center"/>
            <w:hideMark/>
          </w:tcPr>
          <w:p w14:paraId="11CB54DA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07A044F1" w14:textId="77777777" w:rsidTr="00AE03AF">
        <w:trPr>
          <w:trHeight w:val="267"/>
          <w:jc w:val="center"/>
        </w:trPr>
        <w:tc>
          <w:tcPr>
            <w:tcW w:w="2010" w:type="dxa"/>
            <w:vMerge/>
            <w:tcBorders>
              <w:top w:val="nil"/>
              <w:left w:val="single" w:sz="12" w:space="0" w:color="1F4E78"/>
              <w:bottom w:val="nil"/>
              <w:right w:val="nil"/>
            </w:tcBorders>
            <w:vAlign w:val="center"/>
            <w:hideMark/>
          </w:tcPr>
          <w:p w14:paraId="79E25F45" w14:textId="77777777" w:rsidR="00AE03AF" w:rsidRPr="00AE03AF" w:rsidRDefault="00AE03AF" w:rsidP="00AE03A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6DE5F4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 xml:space="preserve">VISESA UBUD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D0CECE"/>
            <w:noWrap/>
            <w:vAlign w:val="center"/>
            <w:hideMark/>
          </w:tcPr>
          <w:p w14:paraId="1F1BC6A4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PS</w:t>
            </w:r>
          </w:p>
        </w:tc>
      </w:tr>
      <w:tr w:rsidR="00AE03AF" w:rsidRPr="00AE03AF" w14:paraId="456A9B5B" w14:textId="77777777" w:rsidTr="00AE03AF">
        <w:trPr>
          <w:trHeight w:val="267"/>
          <w:jc w:val="center"/>
        </w:trPr>
        <w:tc>
          <w:tcPr>
            <w:tcW w:w="2010" w:type="dxa"/>
            <w:vMerge w:val="restart"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2A819058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bidi="ar-SA"/>
              </w:rPr>
              <w:t>BALI (NUSA DUA)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B3BB0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es-ES" w:bidi="ar-SA"/>
              </w:rPr>
              <w:t xml:space="preserve">SADARA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437D9FDC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AE03AF" w:rsidRPr="00AE03AF" w14:paraId="375C3F5F" w14:textId="77777777" w:rsidTr="00AE03AF">
        <w:trPr>
          <w:trHeight w:val="267"/>
          <w:jc w:val="center"/>
        </w:trPr>
        <w:tc>
          <w:tcPr>
            <w:tcW w:w="2010" w:type="dxa"/>
            <w:vMerge/>
            <w:tcBorders>
              <w:top w:val="nil"/>
              <w:left w:val="single" w:sz="12" w:space="0" w:color="1F4E78"/>
              <w:bottom w:val="single" w:sz="12" w:space="0" w:color="1F4E78"/>
              <w:right w:val="nil"/>
            </w:tcBorders>
            <w:vAlign w:val="center"/>
            <w:hideMark/>
          </w:tcPr>
          <w:p w14:paraId="25D6C322" w14:textId="77777777" w:rsidR="00AE03AF" w:rsidRPr="00AE03AF" w:rsidRDefault="00AE03AF" w:rsidP="00AE03AF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12" w:space="0" w:color="1F4E78"/>
              <w:right w:val="nil"/>
            </w:tcBorders>
            <w:shd w:val="clear" w:color="000000" w:fill="FFFFFF"/>
            <w:noWrap/>
            <w:vAlign w:val="center"/>
            <w:hideMark/>
          </w:tcPr>
          <w:p w14:paraId="3B08B75C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color w:val="000000"/>
                <w:sz w:val="20"/>
                <w:szCs w:val="20"/>
                <w:lang w:val="pt-BR" w:bidi="ar-SA"/>
              </w:rPr>
              <w:t xml:space="preserve">AYODVA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1F4E78"/>
              <w:right w:val="single" w:sz="12" w:space="0" w:color="1F4E78"/>
            </w:tcBorders>
            <w:shd w:val="clear" w:color="000000" w:fill="FFFFFF"/>
            <w:noWrap/>
            <w:vAlign w:val="center"/>
            <w:hideMark/>
          </w:tcPr>
          <w:p w14:paraId="586F0D40" w14:textId="77777777" w:rsidR="00AE03AF" w:rsidRPr="00AE03AF" w:rsidRDefault="00AE03AF" w:rsidP="00AE03A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E03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PS</w:t>
            </w:r>
          </w:p>
        </w:tc>
      </w:tr>
    </w:tbl>
    <w:p w14:paraId="60D64FB3" w14:textId="77777777" w:rsidR="009B118E" w:rsidRDefault="009B118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118DB221" w14:textId="77777777" w:rsidR="00BB52E8" w:rsidRDefault="00BB52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451D1275" w14:textId="77777777" w:rsidR="00BB52E8" w:rsidRDefault="00BB52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99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2"/>
        <w:gridCol w:w="1782"/>
        <w:gridCol w:w="1546"/>
        <w:gridCol w:w="1594"/>
        <w:gridCol w:w="1528"/>
      </w:tblGrid>
      <w:tr w:rsidR="00AE03AF" w:rsidRPr="00AE03AF" w14:paraId="200D2DAC" w14:textId="6E3B81D3" w:rsidTr="00AE03AF">
        <w:trPr>
          <w:trHeight w:val="190"/>
          <w:jc w:val="center"/>
        </w:trPr>
        <w:tc>
          <w:tcPr>
            <w:tcW w:w="9952" w:type="dxa"/>
            <w:gridSpan w:val="5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noWrap/>
            <w:vAlign w:val="center"/>
            <w:hideMark/>
          </w:tcPr>
          <w:p w14:paraId="7BF07183" w14:textId="3355F90A" w:rsidR="00AE03AF" w:rsidRPr="00AE03AF" w:rsidRDefault="00AE03AF" w:rsidP="00CB1B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  <w:t>PRECIO POR PERSONA EN USD</w:t>
            </w:r>
          </w:p>
        </w:tc>
      </w:tr>
      <w:tr w:rsidR="00AE03AF" w:rsidRPr="00AE03AF" w14:paraId="1FA5E200" w14:textId="523FA427" w:rsidTr="00AE03AF">
        <w:trPr>
          <w:trHeight w:val="190"/>
          <w:jc w:val="center"/>
        </w:trPr>
        <w:tc>
          <w:tcPr>
            <w:tcW w:w="35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B4C6E7"/>
            <w:vAlign w:val="center"/>
            <w:hideMark/>
          </w:tcPr>
          <w:p w14:paraId="349DE625" w14:textId="77777777" w:rsidR="00AE03AF" w:rsidRPr="00AE03AF" w:rsidRDefault="00AE03AF" w:rsidP="00AE03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CAT. PRIMERA</w:t>
            </w:r>
          </w:p>
        </w:tc>
        <w:tc>
          <w:tcPr>
            <w:tcW w:w="178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2892D7EF" w14:textId="56BD6E0F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RESTO FECHAS</w:t>
            </w:r>
          </w:p>
        </w:tc>
        <w:tc>
          <w:tcPr>
            <w:tcW w:w="1546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2472B209" w14:textId="3C5747BE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29/JUN-15/SEP</w:t>
            </w:r>
          </w:p>
        </w:tc>
        <w:tc>
          <w:tcPr>
            <w:tcW w:w="1594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5F24BE50" w14:textId="514BFC9A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22/DIC-05/ENE</w:t>
            </w:r>
          </w:p>
        </w:tc>
        <w:tc>
          <w:tcPr>
            <w:tcW w:w="1528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6E8945DB" w14:textId="15AF89CB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</w:pPr>
          </w:p>
        </w:tc>
      </w:tr>
      <w:tr w:rsidR="00AE03AF" w:rsidRPr="00AE03AF" w14:paraId="7F4EE07F" w14:textId="2349CCA9" w:rsidTr="007C751A">
        <w:trPr>
          <w:trHeight w:val="190"/>
          <w:jc w:val="center"/>
        </w:trPr>
        <w:tc>
          <w:tcPr>
            <w:tcW w:w="3502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39DBD2CC" w14:textId="77777777" w:rsidR="00AE03AF" w:rsidRPr="00AE03AF" w:rsidRDefault="00AE03AF" w:rsidP="00AE03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DOBLE/TPL</w:t>
            </w:r>
          </w:p>
        </w:tc>
        <w:tc>
          <w:tcPr>
            <w:tcW w:w="1782" w:type="dxa"/>
            <w:tcBorders>
              <w:top w:val="single" w:sz="8" w:space="0" w:color="002060"/>
              <w:left w:val="nil"/>
              <w:bottom w:val="nil"/>
              <w:right w:val="nil"/>
            </w:tcBorders>
            <w:hideMark/>
          </w:tcPr>
          <w:p w14:paraId="4132A9CF" w14:textId="46A68D9D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sz w:val="18"/>
                <w:szCs w:val="18"/>
              </w:rPr>
              <w:t>4815</w:t>
            </w:r>
          </w:p>
        </w:tc>
        <w:tc>
          <w:tcPr>
            <w:tcW w:w="1546" w:type="dxa"/>
            <w:tcBorders>
              <w:top w:val="single" w:sz="8" w:space="0" w:color="002060"/>
              <w:left w:val="nil"/>
              <w:bottom w:val="nil"/>
              <w:right w:val="nil"/>
            </w:tcBorders>
            <w:hideMark/>
          </w:tcPr>
          <w:p w14:paraId="4FA951E6" w14:textId="708C4238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sz w:val="18"/>
                <w:szCs w:val="18"/>
              </w:rPr>
              <w:t>4935</w:t>
            </w:r>
          </w:p>
        </w:tc>
        <w:tc>
          <w:tcPr>
            <w:tcW w:w="1594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hideMark/>
          </w:tcPr>
          <w:p w14:paraId="2DB7CD61" w14:textId="4867E94B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sz w:val="18"/>
                <w:szCs w:val="18"/>
              </w:rPr>
              <w:t>5200</w:t>
            </w:r>
          </w:p>
        </w:tc>
        <w:tc>
          <w:tcPr>
            <w:tcW w:w="1528" w:type="dxa"/>
            <w:tcBorders>
              <w:top w:val="single" w:sz="8" w:space="0" w:color="002060"/>
              <w:right w:val="single" w:sz="8" w:space="0" w:color="002060"/>
            </w:tcBorders>
            <w:vAlign w:val="center"/>
          </w:tcPr>
          <w:p w14:paraId="613D2AA9" w14:textId="0A45FF6D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</w:pPr>
          </w:p>
        </w:tc>
      </w:tr>
      <w:tr w:rsidR="00AE03AF" w:rsidRPr="00AE03AF" w14:paraId="7F721F33" w14:textId="029A893D" w:rsidTr="007C751A">
        <w:trPr>
          <w:trHeight w:val="190"/>
          <w:jc w:val="center"/>
        </w:trPr>
        <w:tc>
          <w:tcPr>
            <w:tcW w:w="350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1007554F" w14:textId="77777777" w:rsidR="00AE03AF" w:rsidRPr="00AE03AF" w:rsidRDefault="00AE03AF" w:rsidP="00AE03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SUPL. SINGLE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608434" w14:textId="30D4D8C1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sz w:val="18"/>
                <w:szCs w:val="18"/>
              </w:rPr>
              <w:t>1405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C83D4" w14:textId="4FD563F1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sz w:val="18"/>
                <w:szCs w:val="18"/>
              </w:rPr>
              <w:t>1670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2060"/>
            </w:tcBorders>
            <w:hideMark/>
          </w:tcPr>
          <w:p w14:paraId="2C1A13B0" w14:textId="556DCCCB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sz w:val="18"/>
                <w:szCs w:val="18"/>
              </w:rPr>
              <w:t>2000</w:t>
            </w:r>
          </w:p>
        </w:tc>
        <w:tc>
          <w:tcPr>
            <w:tcW w:w="1528" w:type="dxa"/>
            <w:tcBorders>
              <w:bottom w:val="single" w:sz="8" w:space="0" w:color="002060"/>
              <w:right w:val="single" w:sz="8" w:space="0" w:color="002060"/>
            </w:tcBorders>
            <w:vAlign w:val="center"/>
          </w:tcPr>
          <w:p w14:paraId="7D8F9597" w14:textId="3A64A16F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</w:pPr>
          </w:p>
        </w:tc>
      </w:tr>
      <w:tr w:rsidR="00AE03AF" w:rsidRPr="00AE03AF" w14:paraId="34455611" w14:textId="086AB70D" w:rsidTr="00AE03AF">
        <w:trPr>
          <w:trHeight w:val="190"/>
          <w:jc w:val="center"/>
        </w:trPr>
        <w:tc>
          <w:tcPr>
            <w:tcW w:w="350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B4C6E7"/>
            <w:vAlign w:val="center"/>
            <w:hideMark/>
          </w:tcPr>
          <w:p w14:paraId="5B68C5ED" w14:textId="77777777" w:rsidR="00AE03AF" w:rsidRPr="00AE03AF" w:rsidRDefault="00AE03AF" w:rsidP="00AE03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CAT. PRIMERA SUP</w:t>
            </w:r>
          </w:p>
        </w:tc>
        <w:tc>
          <w:tcPr>
            <w:tcW w:w="178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5D7DE8F1" w14:textId="476BCC55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RESTO FECHAS</w:t>
            </w:r>
          </w:p>
        </w:tc>
        <w:tc>
          <w:tcPr>
            <w:tcW w:w="1546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425E4935" w14:textId="24BD68F2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29/JUN-15/SEP</w:t>
            </w:r>
          </w:p>
        </w:tc>
        <w:tc>
          <w:tcPr>
            <w:tcW w:w="1594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362B400F" w14:textId="58AA9E9B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30/OCT-24/DIC + 04/ENE-31/MAR</w:t>
            </w:r>
          </w:p>
        </w:tc>
        <w:tc>
          <w:tcPr>
            <w:tcW w:w="1528" w:type="dxa"/>
            <w:tcBorders>
              <w:top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</w:tcPr>
          <w:p w14:paraId="00FD1537" w14:textId="127E632E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25/DIC-03/ENE</w:t>
            </w:r>
          </w:p>
        </w:tc>
      </w:tr>
      <w:tr w:rsidR="00AE03AF" w:rsidRPr="00AE03AF" w14:paraId="0040B98A" w14:textId="082387E5" w:rsidTr="00AE03AF">
        <w:trPr>
          <w:trHeight w:val="190"/>
          <w:jc w:val="center"/>
        </w:trPr>
        <w:tc>
          <w:tcPr>
            <w:tcW w:w="350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6303A31D" w14:textId="77777777" w:rsidR="00AE03AF" w:rsidRPr="00AE03AF" w:rsidRDefault="00AE03AF" w:rsidP="00AE03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DOBLE/TPL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580AE" w14:textId="0FBA8E08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5340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65154" w14:textId="05EEF507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5680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002060"/>
            </w:tcBorders>
            <w:vAlign w:val="center"/>
            <w:hideMark/>
          </w:tcPr>
          <w:p w14:paraId="551ACD3E" w14:textId="5982E49B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5375</w:t>
            </w:r>
          </w:p>
        </w:tc>
        <w:tc>
          <w:tcPr>
            <w:tcW w:w="1528" w:type="dxa"/>
            <w:tcBorders>
              <w:top w:val="single" w:sz="8" w:space="0" w:color="002060"/>
              <w:right w:val="single" w:sz="8" w:space="0" w:color="002060"/>
            </w:tcBorders>
            <w:vAlign w:val="center"/>
          </w:tcPr>
          <w:p w14:paraId="56211669" w14:textId="574D5657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5655</w:t>
            </w:r>
          </w:p>
        </w:tc>
      </w:tr>
      <w:tr w:rsidR="00AE03AF" w:rsidRPr="00AE03AF" w14:paraId="29F59FEF" w14:textId="4E65A4A8" w:rsidTr="00AE03AF">
        <w:trPr>
          <w:trHeight w:val="190"/>
          <w:jc w:val="center"/>
        </w:trPr>
        <w:tc>
          <w:tcPr>
            <w:tcW w:w="3502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4E1A99D4" w14:textId="77777777" w:rsidR="00AE03AF" w:rsidRPr="00AE03AF" w:rsidRDefault="00AE03AF" w:rsidP="00AE03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s-ES" w:bidi="ar-SA"/>
              </w:rPr>
              <w:t>SUPL. SINGLE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6D8C4AC8" w14:textId="02E77E8F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2060"/>
              <w:right w:val="nil"/>
            </w:tcBorders>
            <w:vAlign w:val="center"/>
            <w:hideMark/>
          </w:tcPr>
          <w:p w14:paraId="3A1DD10B" w14:textId="3B3ACACD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2270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24E96C8A" w14:textId="0D88E1DB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528" w:type="dxa"/>
            <w:tcBorders>
              <w:bottom w:val="single" w:sz="8" w:space="0" w:color="002060"/>
              <w:right w:val="single" w:sz="8" w:space="0" w:color="002060"/>
            </w:tcBorders>
            <w:vAlign w:val="center"/>
          </w:tcPr>
          <w:p w14:paraId="2C6A8F68" w14:textId="4CF621E5" w:rsidR="00AE03AF" w:rsidRPr="00AE03AF" w:rsidRDefault="00AE03AF" w:rsidP="00AE03A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ES" w:bidi="ar-SA"/>
              </w:rPr>
            </w:pPr>
            <w:r w:rsidRPr="00AE03A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2565</w:t>
            </w:r>
          </w:p>
        </w:tc>
      </w:tr>
    </w:tbl>
    <w:p w14:paraId="11B02B8B" w14:textId="77777777" w:rsidR="009B118E" w:rsidRDefault="009B118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A9286FF" w14:textId="74F3A1AA" w:rsidR="00B70966" w:rsidRDefault="00AE03AF" w:rsidP="00AE03A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theme="minorHAnsi"/>
          <w:color w:val="002060"/>
          <w:sz w:val="20"/>
          <w:szCs w:val="20"/>
        </w:rPr>
      </w:pPr>
      <w:r w:rsidRPr="00AE03A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Precios NO válidos durante las fechas del Gran Premio de Fórmula I en Singapur (07-11/Oct/2026)</w:t>
      </w:r>
    </w:p>
    <w:p w14:paraId="2EF9577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BF9A9D1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E39C" w14:textId="77777777" w:rsidR="008064EC" w:rsidRDefault="008064EC">
      <w:pPr>
        <w:spacing w:after="0" w:line="240" w:lineRule="auto"/>
      </w:pPr>
      <w:r>
        <w:separator/>
      </w:r>
    </w:p>
  </w:endnote>
  <w:endnote w:type="continuationSeparator" w:id="0">
    <w:p w14:paraId="01276413" w14:textId="77777777" w:rsidR="008064EC" w:rsidRDefault="0080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C88A" w14:textId="77777777" w:rsidR="008064EC" w:rsidRDefault="008064E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BB56C23" w14:textId="77777777" w:rsidR="008064EC" w:rsidRDefault="0080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697E656" w14:textId="711EDB15" w:rsidR="009B6EDD" w:rsidRPr="009B6EDD" w:rsidRDefault="009B6EDD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B6ED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MALASIA, SINGAPUR Y BALI</w:t>
                          </w:r>
                        </w:p>
                        <w:p w14:paraId="1259232A" w14:textId="6D638992" w:rsidR="00A0012D" w:rsidRPr="000449D7" w:rsidRDefault="00503A32" w:rsidP="006A0CB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3379 - </w:t>
                          </w:r>
                          <w:r w:rsidR="007A2D54" w:rsidRPr="00673A0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673A03" w:rsidRPr="00673A0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="007A2D54" w:rsidRPr="00673A03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697E656" w14:textId="711EDB15" w:rsidR="009B6EDD" w:rsidRPr="009B6EDD" w:rsidRDefault="009B6EDD" w:rsidP="006A0CB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B6EDD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MALASIA, SINGAPUR Y BALI</w:t>
                    </w:r>
                  </w:p>
                  <w:p w14:paraId="1259232A" w14:textId="6D638992" w:rsidR="00A0012D" w:rsidRPr="000449D7" w:rsidRDefault="00503A32" w:rsidP="006A0CBF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3379 - </w:t>
                    </w:r>
                    <w:r w:rsidR="007A2D54" w:rsidRPr="00673A0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202</w:t>
                    </w:r>
                    <w:r w:rsidR="00673A03" w:rsidRPr="00673A0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6</w:t>
                    </w:r>
                    <w:r w:rsidR="007A2D54" w:rsidRPr="00673A03">
                      <w:rPr>
                        <w:rFonts w:ascii="Calibri" w:hAnsi="Calibri"/>
                        <w:b/>
                        <w:noProof/>
                        <w:color w:val="FFFFFF" w:themeColor="background1"/>
                        <w:spacing w:val="10"/>
                        <w:sz w:val="28"/>
                        <w:szCs w:val="28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5636EF"/>
    <w:multiLevelType w:val="hybridMultilevel"/>
    <w:tmpl w:val="6A18B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92CD8"/>
    <w:multiLevelType w:val="hybridMultilevel"/>
    <w:tmpl w:val="11FC4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22DCD"/>
    <w:multiLevelType w:val="hybridMultilevel"/>
    <w:tmpl w:val="A7BC6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9EE4885"/>
    <w:multiLevelType w:val="hybridMultilevel"/>
    <w:tmpl w:val="C5EA27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7CC1B6C"/>
    <w:multiLevelType w:val="hybridMultilevel"/>
    <w:tmpl w:val="4C8297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E4279"/>
    <w:multiLevelType w:val="hybridMultilevel"/>
    <w:tmpl w:val="E144A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4"/>
  </w:num>
  <w:num w:numId="2" w16cid:durableId="358354196">
    <w:abstractNumId w:val="43"/>
  </w:num>
  <w:num w:numId="3" w16cid:durableId="1041170892">
    <w:abstractNumId w:val="25"/>
  </w:num>
  <w:num w:numId="4" w16cid:durableId="1033921887">
    <w:abstractNumId w:val="37"/>
  </w:num>
  <w:num w:numId="5" w16cid:durableId="353725778">
    <w:abstractNumId w:val="26"/>
  </w:num>
  <w:num w:numId="6" w16cid:durableId="1716585056">
    <w:abstractNumId w:val="44"/>
  </w:num>
  <w:num w:numId="7" w16cid:durableId="844133380">
    <w:abstractNumId w:val="19"/>
  </w:num>
  <w:num w:numId="8" w16cid:durableId="1397362128">
    <w:abstractNumId w:val="12"/>
  </w:num>
  <w:num w:numId="9" w16cid:durableId="655494188">
    <w:abstractNumId w:val="18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9"/>
  </w:num>
  <w:num w:numId="14" w16cid:durableId="1296522864">
    <w:abstractNumId w:val="40"/>
  </w:num>
  <w:num w:numId="15" w16cid:durableId="1904682630">
    <w:abstractNumId w:val="32"/>
  </w:num>
  <w:num w:numId="16" w16cid:durableId="460078524">
    <w:abstractNumId w:val="27"/>
  </w:num>
  <w:num w:numId="17" w16cid:durableId="1968504851">
    <w:abstractNumId w:val="34"/>
  </w:num>
  <w:num w:numId="18" w16cid:durableId="1167555093">
    <w:abstractNumId w:val="36"/>
  </w:num>
  <w:num w:numId="19" w16cid:durableId="598945982">
    <w:abstractNumId w:val="33"/>
  </w:num>
  <w:num w:numId="20" w16cid:durableId="1140269920">
    <w:abstractNumId w:val="15"/>
  </w:num>
  <w:num w:numId="21" w16cid:durableId="2122257090">
    <w:abstractNumId w:val="23"/>
  </w:num>
  <w:num w:numId="22" w16cid:durableId="888809429">
    <w:abstractNumId w:val="31"/>
  </w:num>
  <w:num w:numId="23" w16cid:durableId="485587264">
    <w:abstractNumId w:val="39"/>
  </w:num>
  <w:num w:numId="24" w16cid:durableId="1849517048">
    <w:abstractNumId w:val="38"/>
  </w:num>
  <w:num w:numId="25" w16cid:durableId="2010865070">
    <w:abstractNumId w:val="7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1"/>
  </w:num>
  <w:num w:numId="30" w16cid:durableId="25179858">
    <w:abstractNumId w:val="35"/>
  </w:num>
  <w:num w:numId="31" w16cid:durableId="923074745">
    <w:abstractNumId w:val="42"/>
  </w:num>
  <w:num w:numId="32" w16cid:durableId="116720605">
    <w:abstractNumId w:val="45"/>
  </w:num>
  <w:num w:numId="33" w16cid:durableId="2069497245">
    <w:abstractNumId w:val="9"/>
  </w:num>
  <w:num w:numId="34" w16cid:durableId="775835334">
    <w:abstractNumId w:val="30"/>
  </w:num>
  <w:num w:numId="35" w16cid:durableId="1096292628">
    <w:abstractNumId w:val="21"/>
  </w:num>
  <w:num w:numId="36" w16cid:durableId="144247004">
    <w:abstractNumId w:val="6"/>
  </w:num>
  <w:num w:numId="37" w16cid:durableId="253785072">
    <w:abstractNumId w:val="13"/>
  </w:num>
  <w:num w:numId="38" w16cid:durableId="1593657973">
    <w:abstractNumId w:val="11"/>
  </w:num>
  <w:num w:numId="39" w16cid:durableId="280498928">
    <w:abstractNumId w:val="17"/>
  </w:num>
  <w:num w:numId="40" w16cid:durableId="209998082">
    <w:abstractNumId w:val="5"/>
  </w:num>
  <w:num w:numId="41" w16cid:durableId="539242049">
    <w:abstractNumId w:val="14"/>
  </w:num>
  <w:num w:numId="42" w16cid:durableId="387461120">
    <w:abstractNumId w:val="10"/>
  </w:num>
  <w:num w:numId="43" w16cid:durableId="1671832431">
    <w:abstractNumId w:val="8"/>
  </w:num>
  <w:num w:numId="44" w16cid:durableId="1049496050">
    <w:abstractNumId w:val="16"/>
  </w:num>
  <w:num w:numId="45" w16cid:durableId="1252398472">
    <w:abstractNumId w:val="28"/>
  </w:num>
  <w:num w:numId="46" w16cid:durableId="1357583544">
    <w:abstractNumId w:val="3"/>
  </w:num>
  <w:num w:numId="47" w16cid:durableId="187959033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49D7"/>
    <w:rsid w:val="00045FB8"/>
    <w:rsid w:val="00046134"/>
    <w:rsid w:val="00050012"/>
    <w:rsid w:val="0005314F"/>
    <w:rsid w:val="00056F0A"/>
    <w:rsid w:val="00095707"/>
    <w:rsid w:val="000B21F2"/>
    <w:rsid w:val="000B4B26"/>
    <w:rsid w:val="000D14F5"/>
    <w:rsid w:val="000D2532"/>
    <w:rsid w:val="000D4B1D"/>
    <w:rsid w:val="000F1A5D"/>
    <w:rsid w:val="0011316C"/>
    <w:rsid w:val="0011377A"/>
    <w:rsid w:val="00116DC0"/>
    <w:rsid w:val="00121872"/>
    <w:rsid w:val="00121D3F"/>
    <w:rsid w:val="001226A7"/>
    <w:rsid w:val="00123328"/>
    <w:rsid w:val="001308DE"/>
    <w:rsid w:val="00130BCE"/>
    <w:rsid w:val="00134902"/>
    <w:rsid w:val="00137453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C7275"/>
    <w:rsid w:val="001D11C3"/>
    <w:rsid w:val="001F1AA7"/>
    <w:rsid w:val="001F25B9"/>
    <w:rsid w:val="001F2E61"/>
    <w:rsid w:val="00200186"/>
    <w:rsid w:val="00203B47"/>
    <w:rsid w:val="00203C6A"/>
    <w:rsid w:val="00206A52"/>
    <w:rsid w:val="00213253"/>
    <w:rsid w:val="0022196F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7562"/>
    <w:rsid w:val="002E2148"/>
    <w:rsid w:val="002F0EBB"/>
    <w:rsid w:val="002F354A"/>
    <w:rsid w:val="002F6B2B"/>
    <w:rsid w:val="002F7466"/>
    <w:rsid w:val="00310646"/>
    <w:rsid w:val="00314E28"/>
    <w:rsid w:val="00321068"/>
    <w:rsid w:val="00344486"/>
    <w:rsid w:val="003472AF"/>
    <w:rsid w:val="003549A2"/>
    <w:rsid w:val="00355350"/>
    <w:rsid w:val="00356AD4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30DCE"/>
    <w:rsid w:val="00432239"/>
    <w:rsid w:val="0043265E"/>
    <w:rsid w:val="004354F5"/>
    <w:rsid w:val="00441277"/>
    <w:rsid w:val="00442E46"/>
    <w:rsid w:val="004457B9"/>
    <w:rsid w:val="00445E5F"/>
    <w:rsid w:val="00453DAF"/>
    <w:rsid w:val="00454D0D"/>
    <w:rsid w:val="00455982"/>
    <w:rsid w:val="00470FEE"/>
    <w:rsid w:val="00471A91"/>
    <w:rsid w:val="004819C9"/>
    <w:rsid w:val="00493763"/>
    <w:rsid w:val="004A4673"/>
    <w:rsid w:val="004A4DC7"/>
    <w:rsid w:val="004A5231"/>
    <w:rsid w:val="004A5406"/>
    <w:rsid w:val="004B58B8"/>
    <w:rsid w:val="004C3BCB"/>
    <w:rsid w:val="004C6385"/>
    <w:rsid w:val="004D1B7B"/>
    <w:rsid w:val="004F3ADB"/>
    <w:rsid w:val="004F5341"/>
    <w:rsid w:val="00503A32"/>
    <w:rsid w:val="00504E60"/>
    <w:rsid w:val="00514B5C"/>
    <w:rsid w:val="005378C5"/>
    <w:rsid w:val="0054679B"/>
    <w:rsid w:val="005507FE"/>
    <w:rsid w:val="00554938"/>
    <w:rsid w:val="00554B42"/>
    <w:rsid w:val="005679E5"/>
    <w:rsid w:val="00581226"/>
    <w:rsid w:val="00585B45"/>
    <w:rsid w:val="005A65C2"/>
    <w:rsid w:val="005B7452"/>
    <w:rsid w:val="005B7BB7"/>
    <w:rsid w:val="005C2EE5"/>
    <w:rsid w:val="005D3466"/>
    <w:rsid w:val="005D4593"/>
    <w:rsid w:val="005D54BC"/>
    <w:rsid w:val="005F07B5"/>
    <w:rsid w:val="00600CC3"/>
    <w:rsid w:val="00607849"/>
    <w:rsid w:val="006110BD"/>
    <w:rsid w:val="006210F5"/>
    <w:rsid w:val="006212A6"/>
    <w:rsid w:val="00636DC7"/>
    <w:rsid w:val="00655CC5"/>
    <w:rsid w:val="00673094"/>
    <w:rsid w:val="00673A03"/>
    <w:rsid w:val="00683516"/>
    <w:rsid w:val="006835E6"/>
    <w:rsid w:val="0068514F"/>
    <w:rsid w:val="00687ED9"/>
    <w:rsid w:val="00692BA8"/>
    <w:rsid w:val="006A0CBF"/>
    <w:rsid w:val="006A3D98"/>
    <w:rsid w:val="006C1CB0"/>
    <w:rsid w:val="006C2396"/>
    <w:rsid w:val="006C64F4"/>
    <w:rsid w:val="006D2552"/>
    <w:rsid w:val="006D29F5"/>
    <w:rsid w:val="006D72E8"/>
    <w:rsid w:val="006E2658"/>
    <w:rsid w:val="006F0C08"/>
    <w:rsid w:val="00700F8E"/>
    <w:rsid w:val="00706CC3"/>
    <w:rsid w:val="00724E17"/>
    <w:rsid w:val="00736ED4"/>
    <w:rsid w:val="007405ED"/>
    <w:rsid w:val="00766785"/>
    <w:rsid w:val="00767F6E"/>
    <w:rsid w:val="007769C7"/>
    <w:rsid w:val="00792113"/>
    <w:rsid w:val="00792693"/>
    <w:rsid w:val="007938E9"/>
    <w:rsid w:val="00794B66"/>
    <w:rsid w:val="007A1064"/>
    <w:rsid w:val="007A2D5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064EC"/>
    <w:rsid w:val="008107A7"/>
    <w:rsid w:val="00820631"/>
    <w:rsid w:val="008212A0"/>
    <w:rsid w:val="0082134A"/>
    <w:rsid w:val="00823DBC"/>
    <w:rsid w:val="00825C6E"/>
    <w:rsid w:val="0082682D"/>
    <w:rsid w:val="0084310C"/>
    <w:rsid w:val="00854018"/>
    <w:rsid w:val="0087417E"/>
    <w:rsid w:val="00876C60"/>
    <w:rsid w:val="0088560B"/>
    <w:rsid w:val="008912B8"/>
    <w:rsid w:val="008A7157"/>
    <w:rsid w:val="008C242A"/>
    <w:rsid w:val="008C4013"/>
    <w:rsid w:val="008C50F3"/>
    <w:rsid w:val="008C56AB"/>
    <w:rsid w:val="008E5CC0"/>
    <w:rsid w:val="008E7D7D"/>
    <w:rsid w:val="008F157E"/>
    <w:rsid w:val="008F4840"/>
    <w:rsid w:val="0090199B"/>
    <w:rsid w:val="009119BC"/>
    <w:rsid w:val="0091250D"/>
    <w:rsid w:val="0093259B"/>
    <w:rsid w:val="00935C20"/>
    <w:rsid w:val="009363E3"/>
    <w:rsid w:val="009373C6"/>
    <w:rsid w:val="00945F42"/>
    <w:rsid w:val="00953766"/>
    <w:rsid w:val="00963B43"/>
    <w:rsid w:val="00975738"/>
    <w:rsid w:val="009767C9"/>
    <w:rsid w:val="00977FCB"/>
    <w:rsid w:val="009817BA"/>
    <w:rsid w:val="00985F89"/>
    <w:rsid w:val="00986E85"/>
    <w:rsid w:val="00993160"/>
    <w:rsid w:val="009A27D1"/>
    <w:rsid w:val="009B118E"/>
    <w:rsid w:val="009B3700"/>
    <w:rsid w:val="009B6EDD"/>
    <w:rsid w:val="009C1CB2"/>
    <w:rsid w:val="009D4BAD"/>
    <w:rsid w:val="009D557D"/>
    <w:rsid w:val="009E0D41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25636"/>
    <w:rsid w:val="00A322C8"/>
    <w:rsid w:val="00A32A11"/>
    <w:rsid w:val="00A44DC0"/>
    <w:rsid w:val="00A455A6"/>
    <w:rsid w:val="00A5638E"/>
    <w:rsid w:val="00A602FD"/>
    <w:rsid w:val="00A805D2"/>
    <w:rsid w:val="00A82487"/>
    <w:rsid w:val="00A8489C"/>
    <w:rsid w:val="00A979AE"/>
    <w:rsid w:val="00AA302B"/>
    <w:rsid w:val="00AB0E37"/>
    <w:rsid w:val="00AB1D19"/>
    <w:rsid w:val="00AB2C58"/>
    <w:rsid w:val="00AC0C99"/>
    <w:rsid w:val="00AD04E8"/>
    <w:rsid w:val="00AE03AF"/>
    <w:rsid w:val="00AF1672"/>
    <w:rsid w:val="00AF6A0F"/>
    <w:rsid w:val="00B100BB"/>
    <w:rsid w:val="00B10610"/>
    <w:rsid w:val="00B11608"/>
    <w:rsid w:val="00B11AFA"/>
    <w:rsid w:val="00B66960"/>
    <w:rsid w:val="00B70966"/>
    <w:rsid w:val="00B802BD"/>
    <w:rsid w:val="00B840FB"/>
    <w:rsid w:val="00B8522A"/>
    <w:rsid w:val="00B9683A"/>
    <w:rsid w:val="00BA37C5"/>
    <w:rsid w:val="00BB3D24"/>
    <w:rsid w:val="00BB43B9"/>
    <w:rsid w:val="00BB52E8"/>
    <w:rsid w:val="00BB5615"/>
    <w:rsid w:val="00BB793D"/>
    <w:rsid w:val="00BC30AB"/>
    <w:rsid w:val="00BD0EA5"/>
    <w:rsid w:val="00BD4590"/>
    <w:rsid w:val="00BE42B8"/>
    <w:rsid w:val="00BF498E"/>
    <w:rsid w:val="00C1510A"/>
    <w:rsid w:val="00C22C6C"/>
    <w:rsid w:val="00C346F6"/>
    <w:rsid w:val="00C42A0C"/>
    <w:rsid w:val="00C442A5"/>
    <w:rsid w:val="00C56297"/>
    <w:rsid w:val="00C655D5"/>
    <w:rsid w:val="00C80DA3"/>
    <w:rsid w:val="00C829ED"/>
    <w:rsid w:val="00C8627A"/>
    <w:rsid w:val="00C90CC1"/>
    <w:rsid w:val="00C91AEF"/>
    <w:rsid w:val="00C94E6D"/>
    <w:rsid w:val="00C97FB6"/>
    <w:rsid w:val="00CA7A1B"/>
    <w:rsid w:val="00CB0CC0"/>
    <w:rsid w:val="00CB1BB5"/>
    <w:rsid w:val="00CB4DCC"/>
    <w:rsid w:val="00CB5F62"/>
    <w:rsid w:val="00CC5F64"/>
    <w:rsid w:val="00CC79DE"/>
    <w:rsid w:val="00CD7566"/>
    <w:rsid w:val="00CE0C8F"/>
    <w:rsid w:val="00CE2788"/>
    <w:rsid w:val="00CF0753"/>
    <w:rsid w:val="00D025BD"/>
    <w:rsid w:val="00D0452D"/>
    <w:rsid w:val="00D0713B"/>
    <w:rsid w:val="00D10D99"/>
    <w:rsid w:val="00D14188"/>
    <w:rsid w:val="00D2140A"/>
    <w:rsid w:val="00D67278"/>
    <w:rsid w:val="00D71BE3"/>
    <w:rsid w:val="00D932C2"/>
    <w:rsid w:val="00D9715B"/>
    <w:rsid w:val="00DA0C05"/>
    <w:rsid w:val="00DC4401"/>
    <w:rsid w:val="00DD2475"/>
    <w:rsid w:val="00E30AF6"/>
    <w:rsid w:val="00E42B74"/>
    <w:rsid w:val="00E5517C"/>
    <w:rsid w:val="00E701F2"/>
    <w:rsid w:val="00E74CDB"/>
    <w:rsid w:val="00E81F32"/>
    <w:rsid w:val="00E825E7"/>
    <w:rsid w:val="00E856F2"/>
    <w:rsid w:val="00E86888"/>
    <w:rsid w:val="00E9481B"/>
    <w:rsid w:val="00EB5301"/>
    <w:rsid w:val="00EB6323"/>
    <w:rsid w:val="00ED4F7B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TFLORES</cp:lastModifiedBy>
  <cp:revision>5</cp:revision>
  <dcterms:created xsi:type="dcterms:W3CDTF">2025-12-17T23:58:00Z</dcterms:created>
  <dcterms:modified xsi:type="dcterms:W3CDTF">2025-12-26T19:08:00Z</dcterms:modified>
</cp:coreProperties>
</file>