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4C05331E" w:rsidR="001B71F8" w:rsidRDefault="00976B3C" w:rsidP="00DD6A22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</w:pP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OSAKA - KIOTO - NARA - MAGOME - TSUMAGO -TAKAYAMA - SHIRAKAWAGO - HAKONE - TOKIO - CHITOSE - SHIRAOI - NOBORIBETSU - TOYAKO - YOICHI - OTARU - FURANO </w:t>
      </w:r>
      <w:r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>–</w:t>
      </w: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 SAPPORO</w:t>
      </w:r>
    </w:p>
    <w:p w14:paraId="128B2F2C" w14:textId="77777777" w:rsidR="00F035B7" w:rsidRPr="001B71F8" w:rsidRDefault="00F035B7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29F1C4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431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0700D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658694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44F7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 junio, 28 julio, 14 julio y 11 agosto 2026 (únicas salidas)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5435146" w14:textId="77777777" w:rsidR="008919C9" w:rsidRPr="003F156B" w:rsidRDefault="008919C9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). Después del trámite de inmigración y aduana, serás recibido por un asistente de habla hispana y trasladado al hotel en servicio compartido. Resto del día libre para actividades personales. </w:t>
      </w: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hotel. </w:t>
      </w:r>
    </w:p>
    <w:p w14:paraId="343A187E" w14:textId="1A5EE351" w:rsidR="003202AA" w:rsidRPr="003F156B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Osaka es a partir de las 15:00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156BC400" w14:textId="33CB63C6" w:rsidR="00D909A0" w:rsidRPr="00BB27E5" w:rsidRDefault="008919C9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Desayuno en el hotel. Visita al Castillo de Osaka con guía en español. Traslado a Nara para conocer el Templo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 Almuerzo en restaurante. C</w:t>
      </w:r>
      <w:r w:rsidR="00F310EC" w:rsidRPr="00BB27E5">
        <w:rPr>
          <w:rFonts w:asciiTheme="minorHAnsi" w:hAnsiTheme="minorHAnsi" w:cstheme="minorHAnsi"/>
          <w:color w:val="002060"/>
          <w:sz w:val="20"/>
          <w:szCs w:val="20"/>
        </w:rPr>
        <w:t>ontinuamos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hacia Kioto con visita al Santuario Fushimi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BB27E5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73517F" w14:textId="77777777" w:rsidR="008919C9" w:rsidRPr="00D26E72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469D800D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opcional ceremonia del </w:t>
      </w:r>
      <w:r w:rsidR="00B1230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té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A73CC21" w14:textId="0F52841A" w:rsidR="00F310EC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Desayuno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hotel.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Reunión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lobby y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salida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para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visita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antigua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capital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Kioto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con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guía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habla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hispana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Durante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recorrido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conoceremos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Castillo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Nijo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Templo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Kinkaku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-ji (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Pabellón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Dorado)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sintoísta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Heian. Almuerzo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incluido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local. El tour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después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del almuerzo,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regreso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al hotel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será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por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cuenta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propia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Por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tarde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tiempo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libre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o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participar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la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actividad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opcional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ceremonia</w:t>
      </w:r>
      <w:proofErr w:type="spellEnd"/>
      <w:r w:rsidRPr="00B12308">
        <w:rPr>
          <w:rStyle w:val="Textoennegrita"/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del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té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Fonts w:asciiTheme="minorHAnsi" w:hAnsiTheme="minorHAnsi" w:cstheme="minorHAnsi"/>
          <w:b/>
          <w:color w:val="002060"/>
          <w:sz w:val="20"/>
        </w:rPr>
        <w:t>(Travel Shop Pack).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.</w:t>
      </w:r>
    </w:p>
    <w:p w14:paraId="173920B7" w14:textId="77777777" w:rsidR="002450E3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</w:p>
    <w:p w14:paraId="03D28D67" w14:textId="1229892D" w:rsidR="00F310EC" w:rsidRPr="00B12308" w:rsidRDefault="00F310EC" w:rsidP="00F310EC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>opcional</w:t>
      </w: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ceremonia del té</w:t>
      </w:r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6ADF37D8" w14:textId="6AB14E24" w:rsidR="00F310EC" w:rsidRPr="0098559B" w:rsidRDefault="00F310EC" w:rsidP="008919C9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lugar de la ceremonia de té acompañado de un guía de habla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(el medio de transporte dependerá del número de participantes).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La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12308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experiencia de la ceremonia de té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>, incluye explicación, demostración y degustación. Tras la actividad, traslado de regreso al hotel.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2450E3">
        <w:rPr>
          <w:lang w:val="es-MX" w:eastAsia="es-MX"/>
        </w:rPr>
        <w:t>.</w:t>
      </w:r>
    </w:p>
    <w:p w14:paraId="323EE2BE" w14:textId="77777777" w:rsidR="008919C9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65D7C3" w14:textId="391312C8" w:rsidR="005C0444" w:rsidRDefault="00C416FF" w:rsidP="005C044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(</w:t>
      </w:r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excursión opcional a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iyajima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375D3601" w14:textId="2DD6757C" w:rsidR="00DC40D3" w:rsidRPr="001701DB" w:rsidRDefault="00DC40D3" w:rsidP="005C0444">
      <w:pPr>
        <w:pStyle w:val="Ttulo2"/>
        <w:spacing w:before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Desayuno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el hotel. Día libre para actividades personales o añade la excursión a Hiroshima y </w:t>
      </w:r>
      <w:proofErr w:type="spellStart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>Miyajima</w:t>
      </w:r>
      <w:proofErr w:type="spellEnd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(</w:t>
      </w:r>
      <w:proofErr w:type="spellStart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Travel</w:t>
      </w:r>
      <w:proofErr w:type="spellEnd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Shop Pack). </w:t>
      </w: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Alojamiento en hotel. </w:t>
      </w:r>
    </w:p>
    <w:p w14:paraId="56D2C943" w14:textId="2BC44C50" w:rsidR="00DC40D3" w:rsidRPr="001701DB" w:rsidRDefault="00DC40D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</w:p>
    <w:p w14:paraId="351561CC" w14:textId="5D7C8B96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opcional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a Hiroshima y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Miyajima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(Travel Shop Pack)</w:t>
      </w:r>
    </w:p>
    <w:p w14:paraId="4E59EC4B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Nos reuniremos en e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l lobby y s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aldremos hacia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excursión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acompañados del g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uía de habla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Traslado a pie hasta la estación de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oto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”, clase turista, hacia Hiroshima.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iniciaremos la visita, incluyendo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Conmemorativo de la Paz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su museo y la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Cúpula de la Bomba Atómica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así como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Santuario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Itsukushima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Miyajima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Almuerzo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 la estación de Hiroshima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 hacia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oto. El tour concluye en la estación de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Ki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oto, desde donde cada pasajero </w:t>
      </w:r>
      <w:r w:rsidRPr="005C0444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>se trasladará por su cuenta al hotel.</w:t>
      </w:r>
      <w:r w:rsidRPr="001701DB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 xml:space="preserve"> </w:t>
      </w:r>
      <w:r w:rsidRPr="001701D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36F5BF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El medio de transporte utilizado durante la excursión dependerá del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número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participantes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incluirá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autocar o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minibús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privado,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tren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autobús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local o taxi.</w:t>
      </w:r>
    </w:p>
    <w:p w14:paraId="0ED7544D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826296A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2711C36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0C293821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2EA23D3E" w14:textId="38541152" w:rsidR="00450343" w:rsidRPr="005C0444" w:rsidRDefault="00450343" w:rsidP="005C0444">
      <w:pPr>
        <w:pStyle w:val="Sangranormal"/>
        <w:tabs>
          <w:tab w:val="left" w:pos="5940"/>
        </w:tabs>
        <w:ind w:firstLine="0"/>
        <w:rPr>
          <w:b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Magome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Tasumago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Takayama</w:t>
      </w:r>
    </w:p>
    <w:p w14:paraId="1050508A" w14:textId="6118C602" w:rsidR="005C0444" w:rsidRPr="003F7963" w:rsidRDefault="00DC40D3" w:rsidP="003F796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3F7963">
        <w:rPr>
          <w:rFonts w:asciiTheme="minorHAnsi" w:hAnsiTheme="minorHAnsi" w:cstheme="minorHAnsi"/>
          <w:color w:val="002060"/>
          <w:sz w:val="20"/>
          <w:szCs w:val="20"/>
        </w:rPr>
        <w:t>en el hotel. Reunión en el lobby y traslado a la estación de Kioto donde se abordará el tren bala (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>) de JR “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Nozomi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Nagoya. 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A la llegada, visitaremos los históricos pueblos de posta de la antigua carretera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Nakasendo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. Paseo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Waki</w:t>
      </w:r>
      <w:proofErr w:type="spellEnd"/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Honjin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, la antigua hospedería de los samuráis. 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Almuerzo no incluido. Posteriormente, salida hacia 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Takayama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 por carretera. A la llegada, recorrido por la ciudad para conocer la tradicional calle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Kami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sannomachi</w:t>
      </w:r>
      <w:proofErr w:type="spellEnd"/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</w:t>
      </w: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ena y alojamiento.</w:t>
      </w:r>
    </w:p>
    <w:p w14:paraId="42BD522A" w14:textId="199EFE67" w:rsidR="00DC40D3" w:rsidRDefault="00DC40D3" w:rsidP="003F79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Nota: En este día favor de considerar que las maletas se trasladarán directamente al hotel en Tokio.  Por lo tanto, contempla que deberás preparar equipaje de mano para 2 noches sin maletas en Takayama y </w:t>
      </w:r>
      <w:proofErr w:type="spellStart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Hakone</w:t>
      </w:r>
      <w:proofErr w:type="spellEnd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.</w:t>
      </w:r>
    </w:p>
    <w:p w14:paraId="03927C01" w14:textId="77777777" w:rsidR="003F7963" w:rsidRPr="003F7963" w:rsidRDefault="003F7963" w:rsidP="003F7963">
      <w:pPr>
        <w:pStyle w:val="NormalWeb"/>
        <w:spacing w:before="0" w:beforeAutospacing="0" w:after="0" w:afterAutospacing="0"/>
        <w:rPr>
          <w:rStyle w:val="DanmeroCar"/>
          <w:rFonts w:eastAsia="Times New Roman"/>
          <w:bCs/>
          <w:sz w:val="20"/>
          <w:szCs w:val="20"/>
          <w:lang w:bidi="ar-SA"/>
        </w:rPr>
      </w:pPr>
    </w:p>
    <w:p w14:paraId="5C371025" w14:textId="2A6835FA" w:rsidR="006A5510" w:rsidRDefault="00450343" w:rsidP="006A5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akayama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</w:t>
      </w:r>
      <w:r w:rsidR="006A5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</w:p>
    <w:p w14:paraId="3985059D" w14:textId="0241784E" w:rsidR="001701DB" w:rsidRPr="001701DB" w:rsidRDefault="00DC40D3" w:rsidP="001701D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salida hacia </w:t>
      </w:r>
      <w:proofErr w:type="spellStart"/>
      <w:r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hispana. Llegada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y comenzamos la visita del pueblo (declarado Patrimonio de la Humanidad por la UNESCO), para conocer una de las casas tradicionales de “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>”. Después de la visita, nos trasladaremos a la estación de Nagoya. </w:t>
      </w:r>
      <w:r w:rsidRPr="00CF0AB1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Después saldremos de Nagoya hacia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en tren bala (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) de JR. Llegando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nos trasladaremos al hotel.  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Cena y alojamient</w:t>
      </w:r>
      <w:r w:rsidR="001756B9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3957EE5B" w14:textId="77777777" w:rsidR="006A5510" w:rsidRPr="00CF0AB1" w:rsidRDefault="005C0444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alojamiento en categoría turista y primera </w:t>
      </w:r>
      <w:r w:rsidR="00CE3277" w:rsidRPr="00CF0AB1">
        <w:rPr>
          <w:rFonts w:asciiTheme="minorHAnsi" w:hAnsiTheme="minorHAnsi" w:cstheme="minorHAnsi"/>
          <w:b/>
          <w:color w:val="002060"/>
          <w:sz w:val="20"/>
          <w:szCs w:val="20"/>
        </w:rPr>
        <w:t>serán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hotel mientras que en categoría superior será </w:t>
      </w:r>
      <w:proofErr w:type="spellStart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(alojamiento japonés)</w:t>
      </w:r>
    </w:p>
    <w:p w14:paraId="6258715C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C068B62" w14:textId="77777777" w:rsidR="006A5510" w:rsidRDefault="00450343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DC40D3" w:rsidRPr="00DC40D3">
        <w:rPr>
          <w:rStyle w:val="DanmeroCar"/>
          <w:bCs/>
          <w:color w:val="FF0000"/>
          <w:sz w:val="24"/>
          <w:szCs w:val="24"/>
        </w:rPr>
        <w:t>Hakone</w:t>
      </w:r>
      <w:proofErr w:type="spellEnd"/>
      <w:r w:rsidR="00DC40D3" w:rsidRPr="00DC40D3">
        <w:rPr>
          <w:rStyle w:val="DanmeroCar"/>
          <w:bCs/>
          <w:color w:val="FF0000"/>
          <w:sz w:val="24"/>
          <w:szCs w:val="24"/>
        </w:rPr>
        <w:t xml:space="preserve"> - </w:t>
      </w:r>
      <w:r w:rsidR="00411AA4">
        <w:rPr>
          <w:rFonts w:asciiTheme="minorHAnsi" w:eastAsia="Arial" w:hAnsiTheme="minorHAnsi" w:cstheme="minorHAnsi"/>
          <w:b/>
          <w:color w:val="FF0000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39961E9" w14:textId="39F08AB8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007994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Nos reuniremos en el hotel para visitar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Nacional de </w:t>
      </w:r>
      <w:proofErr w:type="spellStart"/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hispana, embarcaremos un pequeño bote y subiremos a un teleférico (sujeto a condiciones climatológicas) para disfrutar de la vista panorámica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, el lago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Ashi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Monte</w:t>
      </w:r>
      <w:r w:rsidRPr="006A55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Fuji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6A551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F00A05"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Después de la visita saldremos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hacia Tokio. Llegada a Tokio y comienza la visita de la Torre de Tokio</w:t>
      </w:r>
      <w:r w:rsidR="00F00A05"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Después de la visita, traslado a su hotel</w:t>
      </w: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 Alojamiento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E5F418" w14:textId="7406CF8C" w:rsid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Nota: Dependiendo de las condiciones climatológicas, las visitas pueden ser sustituidas por otras como museos y/o templos. Respecto a la vista panorámica del Monte Fuji también dependerá de la meteorología.</w:t>
      </w:r>
      <w:r w:rsidR="00F00A05"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="00F00A05" w:rsidRPr="00EE75D1">
        <w:rPr>
          <w:rFonts w:asciiTheme="minorHAnsi" w:hAnsiTheme="minorHAnsi" w:cstheme="minorHAnsi"/>
          <w:b/>
          <w:color w:val="002060"/>
          <w:sz w:val="20"/>
          <w:szCs w:val="20"/>
        </w:rPr>
        <w:t>La visibilidad panorámica del Monte Fuji también depende del clima; especialmente en verano, es difícil observarlo debido a la neblina</w:t>
      </w:r>
      <w:r w:rsidR="009D138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C078994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55CB173" w14:textId="56D24756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rFonts w:eastAsia="Times New Roman"/>
          <w:sz w:val="20"/>
          <w:szCs w:val="20"/>
          <w:lang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Style w:val="DanmeroCar"/>
          <w:bCs/>
          <w:color w:val="FF0000"/>
          <w:sz w:val="24"/>
          <w:szCs w:val="24"/>
        </w:rPr>
        <w:t>Tokio</w:t>
      </w:r>
    </w:p>
    <w:p w14:paraId="6BE89010" w14:textId="0E022D23" w:rsidR="006A5510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6249F">
        <w:rPr>
          <w:rStyle w:val="Textoennegrita"/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>Desayuno </w:t>
      </w:r>
      <w:r w:rsidRPr="00DC72D0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en el hotel</w:t>
      </w:r>
      <w:r w:rsidRPr="0096249F">
        <w:rPr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 xml:space="preserve">. Reunión en el lobby y damos comienzo a la vista de ciudad en Tokio con guía de habla hispana para conocer el </w:t>
      </w:r>
      <w:r w:rsidR="00351449" w:rsidRPr="0096249F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T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emplo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Asakusa con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su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calle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comercial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Nakamise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Meiji y el barrio de Ginza. Almuerzo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El tour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y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regreso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al hotel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será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cuenta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propia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Tarde libre para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Sugerencia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Tarvel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Shop Pack).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138796A7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A130FD8" w14:textId="53EBAE39" w:rsidR="00E9122F" w:rsidRPr="006A5510" w:rsidRDefault="00E9122F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o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pcional</w:t>
      </w:r>
      <w:proofErr w:type="spellEnd"/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</w:t>
      </w:r>
      <w:r w:rsidR="002F162D">
        <w:rPr>
          <w:rFonts w:asciiTheme="minorHAnsi" w:eastAsia="Arial" w:hAnsiTheme="minorHAnsi" w:cstheme="minorHAnsi"/>
          <w:color w:val="002060"/>
          <w:sz w:val="24"/>
          <w:szCs w:val="24"/>
        </w:rPr>
        <w:t>i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kko)</w:t>
      </w:r>
    </w:p>
    <w:p w14:paraId="0A5EC437" w14:textId="048A57A2" w:rsidR="00E9122F" w:rsidRPr="00126E36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o bien añade la excursión a </w:t>
      </w:r>
      <w:proofErr w:type="spellStart"/>
      <w:r w:rsidRPr="00126E36">
        <w:rPr>
          <w:rFonts w:asciiTheme="minorHAnsi" w:hAnsiTheme="minorHAnsi" w:cstheme="minorHAnsi"/>
          <w:color w:val="002060"/>
          <w:sz w:val="20"/>
          <w:lang w:val="es-MX"/>
        </w:rPr>
        <w:t>Nikko</w:t>
      </w:r>
      <w:proofErr w:type="spellEnd"/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</w:t>
      </w:r>
      <w:r w:rsidRPr="0096249F">
        <w:rPr>
          <w:rFonts w:asciiTheme="minorHAnsi" w:hAnsiTheme="minorHAnsi" w:cstheme="minorHAnsi"/>
          <w:b/>
          <w:color w:val="002060"/>
          <w:sz w:val="20"/>
          <w:lang w:val="es-MX"/>
        </w:rPr>
        <w:t>(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Pack).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Alojamiento. </w:t>
      </w:r>
    </w:p>
    <w:p w14:paraId="6C8CBE7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</w:p>
    <w:p w14:paraId="69C7418D" w14:textId="3822BB0A" w:rsid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opcional a </w:t>
      </w:r>
      <w:proofErr w:type="spellStart"/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Nikko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2DD8666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5619DFA3" w14:textId="1C2AB7C3" w:rsidR="00372BC8" w:rsidRP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Reunión en el lobby y salida para la excursión a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Nikko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guía de habla 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Durante la visita conoceremos el </w:t>
      </w:r>
      <w:r w:rsidRPr="00DC72D0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Santuario</w:t>
      </w:r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Toshogu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la </w:t>
      </w:r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Cascada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Kegon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 la que se accede subiendo por la carretera en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zig-zag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“I-Ro-Ha”. Almuerzo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al hotel en Tokio.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46985A3" w14:textId="37C0A615" w:rsidR="00953DB7" w:rsidRDefault="00372BC8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26E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medio de transporte dependerá del número de participantes e incluirá autocar o minibús privado, tren, autobús local o taxi.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temporada alta, las visitas pueden ser sustituidas según las condiciones del tráfico. Durante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la Semana de Oro, se utilizará tren más taxi o autobús privado, ya que no es posible conseguir billetes de tren a </w:t>
      </w:r>
      <w:proofErr w:type="spellStart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tan poca antelación.</w:t>
      </w:r>
    </w:p>
    <w:p w14:paraId="74B0473F" w14:textId="77777777" w:rsidR="00126E36" w:rsidRPr="00126E36" w:rsidRDefault="00126E36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7136E1C" w14:textId="77777777" w:rsidR="00953DB7" w:rsidRDefault="00E9122F" w:rsidP="00C93CB5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Style w:val="DanmeroCar"/>
          <w:bCs/>
          <w:color w:val="FF0000"/>
          <w:sz w:val="24"/>
          <w:szCs w:val="24"/>
        </w:rPr>
        <w:t>Tokio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FBA5DD8" w14:textId="682921B2" w:rsidR="007E78F2" w:rsidRDefault="00FA6DF4" w:rsidP="007E78F2">
      <w:pPr>
        <w:pStyle w:val="NormalWeb"/>
        <w:spacing w:before="0" w:beforeAutospacing="0" w:after="0" w:afterAutospacing="0"/>
        <w:rPr>
          <w:b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E78F2">
        <w:rPr>
          <w:rFonts w:asciiTheme="minorHAnsi" w:hAnsiTheme="minorHAnsi" w:cstheme="minorHAnsi"/>
          <w:color w:val="002060"/>
          <w:sz w:val="20"/>
          <w:szCs w:val="20"/>
        </w:rPr>
        <w:t>Día libre para realizar compras o actividades personales.</w:t>
      </w:r>
      <w:r w:rsidR="009A1ED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A1EDD" w:rsidRPr="009A1ED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9A1ED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345DC9A" w14:textId="1A2CDB83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1C71ED3E" w14:textId="15EE9C91" w:rsidR="009A1EDD" w:rsidRPr="009A1EDD" w:rsidRDefault="009A1EDD" w:rsidP="009A1EDD">
      <w:pPr>
        <w:pStyle w:val="NormalWeb"/>
        <w:spacing w:before="0" w:beforeAutospacing="0" w:after="0" w:afterAutospacing="0"/>
        <w:rPr>
          <w:rStyle w:val="DanmeroCar"/>
          <w:b w:val="0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11| </w:t>
      </w:r>
      <w:r>
        <w:rPr>
          <w:rStyle w:val="DanmeroCar"/>
          <w:bCs/>
          <w:color w:val="FF0000"/>
          <w:sz w:val="24"/>
          <w:szCs w:val="24"/>
        </w:rPr>
        <w:t xml:space="preserve">Tokio </w:t>
      </w:r>
      <w:r w:rsidRPr="009A1EDD">
        <w:rPr>
          <w:rStyle w:val="DanmeroCar"/>
          <w:bCs/>
          <w:color w:val="FF0000"/>
          <w:sz w:val="24"/>
          <w:szCs w:val="24"/>
        </w:rPr>
        <w:t xml:space="preserve">– Haneda </w:t>
      </w:r>
      <w:r w:rsidR="00D338AF" w:rsidRPr="00D338AF">
        <w:rPr>
          <w:rStyle w:val="DanmeroCar"/>
          <w:b w:val="0"/>
          <w:bCs/>
          <w:sz w:val="24"/>
          <w:szCs w:val="24"/>
        </w:rPr>
        <w:t>(vuelo interno)</w:t>
      </w:r>
      <w:r w:rsidR="00D338AF" w:rsidRPr="00D338AF">
        <w:rPr>
          <w:rStyle w:val="DanmeroCar"/>
          <w:bCs/>
          <w:sz w:val="24"/>
          <w:szCs w:val="24"/>
        </w:rPr>
        <w:t xml:space="preserve"> </w:t>
      </w:r>
      <w:r w:rsidRPr="009A1EDD">
        <w:rPr>
          <w:rStyle w:val="DanmeroCar"/>
          <w:bCs/>
          <w:color w:val="FF0000"/>
          <w:sz w:val="24"/>
          <w:szCs w:val="24"/>
        </w:rPr>
        <w:t xml:space="preserve">– Chitose – </w:t>
      </w:r>
      <w:proofErr w:type="spellStart"/>
      <w:r w:rsidRPr="009A1EDD">
        <w:rPr>
          <w:rStyle w:val="DanmeroCar"/>
          <w:bCs/>
          <w:color w:val="FF0000"/>
          <w:sz w:val="24"/>
          <w:szCs w:val="24"/>
        </w:rPr>
        <w:t>Shiraoi</w:t>
      </w:r>
      <w:proofErr w:type="spellEnd"/>
      <w:r w:rsidRPr="009A1EDD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bCs/>
          <w:color w:val="FF0000"/>
          <w:sz w:val="24"/>
          <w:szCs w:val="24"/>
        </w:rPr>
        <w:t>Noboribetsu</w:t>
      </w:r>
      <w:proofErr w:type="spellEnd"/>
    </w:p>
    <w:p w14:paraId="45EDE2B8" w14:textId="38BE8D29" w:rsidR="007E78F2" w:rsidRPr="00D338AF" w:rsidRDefault="009A1EDD" w:rsidP="009A1EDD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Traslado al aeropuerto de Haneda para tomar el vuelo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(incluido)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A la llegada al aeropuerto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-Chitose, encuentro con el guía local y salida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Shiraoi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del Pueblo Ainu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Upopoi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dedicado a la cultura indígena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En ruta,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realizaremos una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parada para probar los famosos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helados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soft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cream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de la región.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Seguiremos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Noboribetsu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célebre por sus aguas termales naturales. </w:t>
      </w:r>
      <w:r w:rsidRPr="00D338AF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tradicional japonesa y alojamiento</w:t>
      </w:r>
      <w:r w:rsidRPr="00D338AF">
        <w:rPr>
          <w:rStyle w:val="Textoennegrita"/>
          <w:b w:val="0"/>
        </w:rPr>
        <w:t>.</w:t>
      </w:r>
    </w:p>
    <w:p w14:paraId="5BED99BB" w14:textId="4D33F21A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</w:p>
    <w:p w14:paraId="5CDBC036" w14:textId="2D3C6BB5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12| </w:t>
      </w:r>
      <w:proofErr w:type="spellStart"/>
      <w:r w:rsidRPr="009A1EDD">
        <w:rPr>
          <w:rStyle w:val="DanmeroCar"/>
          <w:color w:val="FF0000"/>
          <w:sz w:val="24"/>
          <w:szCs w:val="24"/>
        </w:rPr>
        <w:t>Noboribetsu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Toyako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Yoichi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Otaru</w:t>
      </w:r>
      <w:proofErr w:type="spellEnd"/>
    </w:p>
    <w:p w14:paraId="4C1D9961" w14:textId="49C219CB" w:rsidR="009A1EDD" w:rsidRPr="00D338AF" w:rsidRDefault="009A1EDD" w:rsidP="009A1E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Salida hacia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ascenso en teleférico para admirar las vistas panorámicas del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Lago Toya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su entorno volcánico. Continuación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Yoichi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destilería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Nikka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Whisky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una de las más reconocidas de Japón. Almuerzo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>local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Por la tarde, recorrido por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encantadora ciudad portuaria famosa por sus canales y arquitectura histórica. Visita de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residencia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Aoyama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mercado de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Nantaru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 la Caja Musical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una fábrica de vidrio artesanal. </w:t>
      </w: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BB8B931" w14:textId="18A55449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81A8DC" w14:textId="2810970F" w:rsidR="00897FBC" w:rsidRDefault="00897FBC" w:rsidP="00897FBC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13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proofErr w:type="spellStart"/>
      <w:r w:rsidRPr="00897FBC">
        <w:rPr>
          <w:rStyle w:val="DanmeroCar"/>
          <w:color w:val="FF0000"/>
          <w:sz w:val="24"/>
          <w:szCs w:val="24"/>
        </w:rPr>
        <w:t>Otaru</w:t>
      </w:r>
      <w:proofErr w:type="spellEnd"/>
      <w:r w:rsidRPr="00897FBC">
        <w:rPr>
          <w:rStyle w:val="DanmeroCar"/>
          <w:color w:val="FF0000"/>
          <w:sz w:val="24"/>
          <w:szCs w:val="24"/>
        </w:rPr>
        <w:t xml:space="preserve"> – Sapporo</w:t>
      </w:r>
    </w:p>
    <w:p w14:paraId="199F32F0" w14:textId="397FEE46" w:rsidR="007E78F2" w:rsidRPr="00A4392C" w:rsidRDefault="00897FBC" w:rsidP="004127D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392C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A4392C" w:rsidRPr="00A439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Iniciaremos por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Canal de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uno de los lugares más fotogénicos de </w:t>
      </w:r>
      <w:proofErr w:type="spellStart"/>
      <w:r w:rsidRPr="00A4392C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="00A4392C" w:rsidRPr="00A4392C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iremos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Sapporo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visitan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Okura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(sede de los Juegos Olímpicos de Invierno de 1972),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del Reloj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Odori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 Televisión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Tiempo libre para almorzar y recorrer las calles comerciales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Tanuki-koji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Ramen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Yokocho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, célebres por su ambiente local.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Por la tarde, visita al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Museo de la Cerveza Sapporo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A4392C" w:rsidRPr="00A4392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BB9B21" w14:textId="7CD3A893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5EF70291" w14:textId="520F6994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14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– </w:t>
      </w:r>
      <w:proofErr w:type="spellStart"/>
      <w:r w:rsidRPr="00317EDF">
        <w:rPr>
          <w:rStyle w:val="DanmeroCar"/>
          <w:color w:val="FF0000"/>
          <w:sz w:val="24"/>
          <w:szCs w:val="24"/>
        </w:rPr>
        <w:t>Biei</w:t>
      </w:r>
      <w:proofErr w:type="spellEnd"/>
      <w:r w:rsidRPr="00317EDF">
        <w:rPr>
          <w:rStyle w:val="DanmeroCar"/>
          <w:color w:val="FF0000"/>
          <w:sz w:val="24"/>
          <w:szCs w:val="24"/>
        </w:rPr>
        <w:t xml:space="preserve"> – Furano – Sapporo</w:t>
      </w:r>
    </w:p>
    <w:p w14:paraId="437662C1" w14:textId="1EFEF397" w:rsidR="007E78F2" w:rsidRPr="00686AB3" w:rsidRDefault="00A4392C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</w:t>
      </w:r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esayuno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Excursión de día completo a los paisajes más coloridos 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>Sapporo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Biei</w:t>
      </w:r>
      <w:proofErr w:type="spellEnd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visita a la famosa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Laguna Azul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a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colina de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Shikisai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 Oka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, con sus campos florales multicolor. Almuerzo local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, al finalizar seguiremos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Furano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conocida por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“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Roller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Coaster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Road”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los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campos de lavanda y flores estacionales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Tomita Farm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Por la noche, cena típica en el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Sapporo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Beer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Garden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 barbacoa al estilo </w:t>
      </w:r>
      <w:proofErr w:type="spellStart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317EDF" w:rsidRPr="00686AB3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686AB3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309692" w14:textId="250D2EFD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4D2862" w14:textId="139E8872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15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</w:t>
      </w:r>
      <w:r w:rsidR="00686AB3">
        <w:rPr>
          <w:rStyle w:val="DanmeroCar"/>
          <w:color w:val="FF0000"/>
          <w:sz w:val="24"/>
          <w:szCs w:val="24"/>
        </w:rPr>
        <w:t>– Tokio (Aeropuerto de Haneda)</w:t>
      </w:r>
    </w:p>
    <w:p w14:paraId="23BB2CB0" w14:textId="77E419FC" w:rsidR="00686AB3" w:rsidRPr="00686AB3" w:rsidRDefault="00686AB3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Traslado al aeropuerto de </w:t>
      </w:r>
      <w:proofErr w:type="spellStart"/>
      <w:r w:rsidRPr="00686AB3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686AB3">
        <w:rPr>
          <w:rFonts w:asciiTheme="minorHAnsi" w:hAnsiTheme="minorHAnsi" w:cstheme="minorHAnsi"/>
          <w:color w:val="002060"/>
          <w:sz w:val="20"/>
          <w:szCs w:val="20"/>
        </w:rPr>
        <w:t>-Chitose para tomar el vuelo (incluido) con destino a Tokio. Llegada al aeropuerto de Haneda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 Fin de los servicios.</w:t>
      </w:r>
    </w:p>
    <w:p w14:paraId="1DF8C53B" w14:textId="3E14320D" w:rsidR="007E78F2" w:rsidRPr="00686AB3" w:rsidRDefault="00686AB3" w:rsidP="00686AB3">
      <w:pPr>
        <w:pStyle w:val="NormalWeb"/>
        <w:spacing w:before="0" w:beforeAutospacing="0" w:after="0" w:afterAutospacing="0"/>
        <w:jc w:val="both"/>
        <w:rPr>
          <w:b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Check-out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antes de las 11:00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59259A7" w14:textId="77777777" w:rsidR="007E78F2" w:rsidRPr="00953DB7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5A55415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9227957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="00785FC6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152D2E6" w:rsidR="00664597" w:rsidRPr="0071699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716991" w:rsidRDefault="006E4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2BE8C8DB" w14:textId="77777777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Asistencia en español por </w:t>
      </w: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nuestro representante en Japón</w:t>
      </w:r>
    </w:p>
    <w:p w14:paraId="1C6E46E3" w14:textId="7F103D10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</w:t>
      </w:r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 Nagoya (día 5) y de Nagoya a </w:t>
      </w:r>
      <w:proofErr w:type="spellStart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6) </w:t>
      </w:r>
    </w:p>
    <w:p w14:paraId="4DA23753" w14:textId="443D979F" w:rsid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9EE8BC0" w14:textId="4C13B9A1" w:rsidR="00CC4471" w:rsidRPr="00745945" w:rsidRDefault="00CC4471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2 vuelos internos en clase turista (20 kg de equipaje permitido por persona) 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01EF08A8" w14:textId="77777777" w:rsidR="000F0172" w:rsidRDefault="00F2306B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Para vuelos antes de las 11:30hrs desde Tokio (NRT/HND), no hay tiempo para desayuno. No se ofrece box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5991FE0C" w14:textId="277EF5B0" w:rsidR="000F0172" w:rsidRPr="000F0172" w:rsidRDefault="000F0172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El programa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incluye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2 vuelos domésticos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:</w:t>
      </w:r>
    </w:p>
    <w:p w14:paraId="3D225051" w14:textId="3500C109" w:rsidR="000F0172" w:rsidRPr="000F0172" w:rsidRDefault="000F0172" w:rsidP="0072457C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Tokio (Haneda) →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/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 → Tokio (Haneda)</w:t>
      </w:r>
    </w:p>
    <w:p w14:paraId="2CD3C5B9" w14:textId="2750EA8C" w:rsidR="000F0172" w:rsidRPr="000F0172" w:rsidRDefault="000F0172" w:rsidP="000B289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boletos se deben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emitir 60 días antes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de la salida.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A partir de esa fecha, las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cancelaciones tienen penalidad de 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>550 USD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por persona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45B52D4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vuelos son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no modificables ni </w:t>
      </w:r>
      <w:r w:rsidR="00621723">
        <w:rPr>
          <w:rFonts w:asciiTheme="minorHAnsi" w:hAnsiTheme="minorHAnsi" w:cstheme="minorHAnsi"/>
          <w:bCs/>
          <w:color w:val="002060"/>
          <w:sz w:val="20"/>
          <w:szCs w:val="20"/>
        </w:rPr>
        <w:t>endosables.</w:t>
      </w:r>
    </w:p>
    <w:p w14:paraId="01ED8DB6" w14:textId="1C697286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Equipaje permitido: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20 kg por persona en total (según normas de la aerolínea).</w:t>
      </w:r>
    </w:p>
    <w:p w14:paraId="73D66F6E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>Cualquier exceso deberá ser pagado directamente por el pasajero.</w:t>
      </w:r>
    </w:p>
    <w:p w14:paraId="7F194471" w14:textId="7C982528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Recomendación: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evitar maletas grandes, ya que pueden ser incómodas durante traslados.</w:t>
      </w:r>
    </w:p>
    <w:p w14:paraId="13C5AE70" w14:textId="653CAA2A" w:rsidR="000F0172" w:rsidRPr="00621723" w:rsidRDefault="00621723" w:rsidP="006217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En el Aeropuerto de Haneda existe un servicio de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consigna de equipaje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, donde podrás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guardar temporalmente tus maletas de forma segura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antes de continuar tu viaje.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Si deseas utilizar este servicio,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infórmanos con anticipación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y se cubrirá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el costo correspondiente a una maleta por persona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B04C4D6" w14:textId="615CB765" w:rsidR="00115FAF" w:rsidRPr="00115FAF" w:rsidRDefault="00115FAF" w:rsidP="00CF346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717FBC7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4C08218A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</w:t>
      </w:r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Takayama y </w:t>
      </w:r>
      <w:proofErr w:type="spellStart"/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902CD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3902C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2B2C1ED8" w:rsidR="00FB7790" w:rsidRPr="004769B8" w:rsidRDefault="0000375D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5,</w:t>
      </w:r>
      <w:r w:rsidR="00ED4F5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los pasajeros no tendrán su equipaje principal (se envía directo de Kioto a Tokio). Se recomienda llevar maleta de mano (máx. 10 kg).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2451F20D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Traslados incluidos en noches 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previas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33E55657" w14:textId="625695CF" w:rsidR="00B6431B" w:rsidRPr="00014D68" w:rsidRDefault="004769B8" w:rsidP="00B6431B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EBE06C8" w14:textId="7486553F" w:rsidR="00014D68" w:rsidRDefault="00B36B0F" w:rsidP="00B6431B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En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, e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l traslado de salida se realiza en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vehículo privado con asistente en español o inglés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El servicio finaliza al llegar del vuelo </w:t>
      </w:r>
      <w:proofErr w:type="spellStart"/>
      <w:r w:rsidRPr="00B36B0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→ Tokio (Haneda). Si el pasajero continúa a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Narita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o extiende estancia,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no está incluido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el traslado adicional.</w:t>
      </w:r>
    </w:p>
    <w:p w14:paraId="1AB52144" w14:textId="5A8DA378" w:rsidR="00432676" w:rsidRDefault="00B36B0F" w:rsidP="0000274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 los pasajeros llegan en un vuelo diferente sin notificar, </w:t>
      </w:r>
      <w:r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traslado se cancela automáticamente</w:t>
      </w: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sin reembolso</w:t>
      </w:r>
      <w:r w:rsidR="00432676"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6C5065E" w14:textId="77777777" w:rsidR="002E777F" w:rsidRDefault="002E777F" w:rsidP="002E777F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91"/>
        <w:gridCol w:w="5901"/>
        <w:gridCol w:w="432"/>
      </w:tblGrid>
      <w:tr w:rsidR="00432676" w:rsidRPr="00432676" w14:paraId="080F53AF" w14:textId="77777777" w:rsidTr="00432676">
        <w:trPr>
          <w:trHeight w:val="29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19D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432676" w:rsidRPr="00432676" w14:paraId="52FC7AE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A197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EFF15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CAC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7567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32676" w:rsidRPr="00432676" w14:paraId="2312594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2E24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098A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C77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INTERNATIONAL SHINMACHI (25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1FA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3E6ABFD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E39D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BF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D08D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RIGHA ROYAL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981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5CC06937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F35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1CD5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FA9F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MIYAKO HACHIJO (21 A 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/KARASUMA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96D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007A102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5BB0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760A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4C2B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GRANVIA STANDARS (30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/NIKKO PRINCESS (36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TOKYU (26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E8F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77E145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B28D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BD86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TAKAYAMA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950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(TENRYO KAKU 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MERCURE HIDA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ED56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5969AAA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C09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89B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28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(ORIN KAKU 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62F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60EFD1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4709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0BD0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0A3C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STANDARD (23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(28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751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7329536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CFAA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A0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FC15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hab. japonesa con camas </w:t>
            </w:r>
            <w:proofErr w:type="spellStart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(48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PREMIUM (50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9B2B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CF062D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21A4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A0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CF49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TOSHI CENTER (23 A 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0D8F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6D2F7B8A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5CD1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BD2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26B7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OTANI GARDEN TOWER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 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290F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712AC39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33EF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452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NOBORIBETSU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B8D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TAKIMOTOKAN 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(hab. japonesa con futón o camas occidentales con camas base a disponibilidad)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D301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22F5173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2F09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2D6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DC86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C4F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432676" w:rsidRPr="00432676" w14:paraId="14B642C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92F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B2DC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OTARU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EE0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AUTHENT OTARU (37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FA91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79CD7C32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B9B77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7E44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SAPPORO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DF6B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GRANS MERCURE SAPPORO ODORI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E089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T/P </w:t>
            </w:r>
          </w:p>
        </w:tc>
      </w:tr>
    </w:tbl>
    <w:p w14:paraId="617A56B8" w14:textId="4BB79C10" w:rsidR="00B6431B" w:rsidRDefault="00B6431B" w:rsidP="0043267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31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1081"/>
        <w:gridCol w:w="1081"/>
      </w:tblGrid>
      <w:tr w:rsidR="00432676" w:rsidRPr="00432676" w14:paraId="44FF1069" w14:textId="77777777" w:rsidTr="00432676">
        <w:trPr>
          <w:trHeight w:val="28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422F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432676" w:rsidRPr="00432676" w14:paraId="20640817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5777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</w:t>
            </w: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70C0"/>
                <w:lang w:val="es-MX" w:eastAsia="es-MX"/>
              </w:rPr>
              <w:t>TERRESTRES</w:t>
            </w: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EXCLUSIVAMENTE (MINIMO 02 PASAJEROS)</w:t>
            </w:r>
          </w:p>
        </w:tc>
      </w:tr>
      <w:tr w:rsidR="00432676" w:rsidRPr="00432676" w14:paraId="113B5481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70C4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E18C5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8FA6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432676" w:rsidRPr="00432676" w14:paraId="7ACFDB7D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5A1D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EB22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6360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5AEC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5505</w:t>
            </w:r>
          </w:p>
        </w:tc>
      </w:tr>
      <w:tr w:rsidR="00432676" w:rsidRPr="00432676" w14:paraId="2CF33A68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455A1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5C7D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6595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098D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5795</w:t>
            </w:r>
          </w:p>
        </w:tc>
      </w:tr>
      <w:tr w:rsidR="00432676" w:rsidRPr="00432676" w14:paraId="2FDC3A07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46F4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D421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E5E81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432676" w:rsidRPr="00432676" w14:paraId="721E6249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AFD1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CB12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6825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3FAE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6615</w:t>
            </w:r>
          </w:p>
        </w:tc>
      </w:tr>
      <w:tr w:rsidR="00432676" w:rsidRPr="00432676" w14:paraId="29052D62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D84F5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256F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FF34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6875</w:t>
            </w:r>
          </w:p>
        </w:tc>
      </w:tr>
      <w:tr w:rsidR="00432676" w:rsidRPr="00432676" w14:paraId="2322CD38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AD7BA" w14:textId="3C4B5F62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4326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4326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2026.</w:t>
            </w:r>
          </w:p>
        </w:tc>
      </w:tr>
      <w:tr w:rsidR="00432676" w:rsidRPr="00432676" w14:paraId="4FEE22D0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9E3C" w14:textId="77777777" w:rsidR="00432676" w:rsidRPr="00432676" w:rsidRDefault="00432676" w:rsidP="004326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32676" w:rsidRPr="00432676" w14:paraId="708933FF" w14:textId="77777777" w:rsidTr="00432676">
        <w:trPr>
          <w:trHeight w:val="25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562F" w14:textId="77777777" w:rsidR="00432676" w:rsidRPr="00432676" w:rsidRDefault="00432676" w:rsidP="0043267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DEAF158" w14:textId="1939AD84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26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</w:tblGrid>
      <w:tr w:rsidR="00B72777" w:rsidRPr="00B72777" w14:paraId="4735F711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B2777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B72777" w:rsidRPr="00B72777" w14:paraId="4301E26F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4244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 junio</w:t>
            </w:r>
          </w:p>
        </w:tc>
      </w:tr>
      <w:tr w:rsidR="00B72777" w:rsidRPr="00B72777" w14:paraId="750C8957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8A05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 julio</w:t>
            </w:r>
          </w:p>
        </w:tc>
      </w:tr>
      <w:tr w:rsidR="00B72777" w:rsidRPr="00B72777" w14:paraId="2C619613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DB6FA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 julio</w:t>
            </w:r>
          </w:p>
        </w:tc>
      </w:tr>
      <w:tr w:rsidR="00B72777" w:rsidRPr="00B72777" w14:paraId="0ECEA6EE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7171E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 agosto</w:t>
            </w:r>
          </w:p>
        </w:tc>
      </w:tr>
    </w:tbl>
    <w:p w14:paraId="54C24DAF" w14:textId="235E67AE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7BC3CB3" w14:textId="15BC9F50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38830D" wp14:editId="32994195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35406" w14:textId="598B2945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ABB13A8" w14:textId="77777777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2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815"/>
      </w:tblGrid>
      <w:tr w:rsidR="00B72777" w:rsidRPr="00B72777" w14:paraId="28FAC43E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5A7F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CEREMONIA DE TÉ</w:t>
            </w:r>
          </w:p>
        </w:tc>
      </w:tr>
      <w:tr w:rsidR="00B72777" w:rsidRPr="00B72777" w14:paraId="474F36DF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759DD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B72777" w:rsidRPr="00B72777" w14:paraId="6CD1B100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8DCB5" w14:textId="49BE510C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DEL TE (día 3)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E179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155</w:t>
            </w:r>
          </w:p>
        </w:tc>
      </w:tr>
      <w:tr w:rsidR="00B72777" w:rsidRPr="00B72777" w14:paraId="2B863C91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0493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Traslado ida y vuelta, guía en español</w:t>
            </w:r>
          </w:p>
        </w:tc>
      </w:tr>
    </w:tbl>
    <w:p w14:paraId="1E054E11" w14:textId="25380F9B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47"/>
      </w:tblGrid>
      <w:tr w:rsidR="00B72777" w:rsidRPr="00B72777" w14:paraId="5973808C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69D75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ACTIVIDAD HIROSHIMA Y MIYAJIMA </w:t>
            </w:r>
          </w:p>
        </w:tc>
      </w:tr>
      <w:tr w:rsidR="00B72777" w:rsidRPr="00B72777" w14:paraId="7E389BC3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75C31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542B7A9B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C917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EXCURSIÓN A HIROSHIMA Y MIYAJIMA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0F73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545</w:t>
            </w:r>
          </w:p>
        </w:tc>
      </w:tr>
      <w:tr w:rsidR="00B72777" w:rsidRPr="00B72777" w14:paraId="06521D61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B5F42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Tren bala de Kioto a Hiroshima, ida y vuelta en clase turista. Guía de habla hispana durante toda la excursión.</w:t>
            </w:r>
          </w:p>
        </w:tc>
      </w:tr>
    </w:tbl>
    <w:p w14:paraId="72BB6367" w14:textId="55AAA935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785"/>
      </w:tblGrid>
      <w:tr w:rsidR="00B72777" w:rsidRPr="00B72777" w14:paraId="419E9282" w14:textId="77777777" w:rsidTr="00B72777">
        <w:trPr>
          <w:trHeight w:val="26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61C0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NIKKO</w:t>
            </w:r>
          </w:p>
        </w:tc>
      </w:tr>
      <w:tr w:rsidR="00B72777" w:rsidRPr="00B72777" w14:paraId="49F8A6DA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76E1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1C2845A3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5E251" w14:textId="5E2C5AD1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Ni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k</w:t>
            </w: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ko</w:t>
            </w:r>
            <w:proofErr w:type="spellEnd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almuerzo (Día 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8378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340</w:t>
            </w:r>
          </w:p>
        </w:tc>
      </w:tr>
      <w:tr w:rsidR="00B72777" w:rsidRPr="00B72777" w14:paraId="4FE9D752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44C24" w14:textId="60467E11" w:rsidR="00B72777" w:rsidRPr="00B72777" w:rsidRDefault="00B72777" w:rsidP="00B7277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Guía de habla hispana durante toda la excursión. Visita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según el itinerario.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 temporada alta, semana de Oro y festividad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 utilizará tren + taxi o autobús privado. </w:t>
            </w:r>
          </w:p>
        </w:tc>
      </w:tr>
      <w:tr w:rsidR="00B72777" w:rsidRPr="00B72777" w14:paraId="7A3213A1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64140" w14:textId="77777777" w:rsidR="00B72777" w:rsidRPr="00B72777" w:rsidRDefault="00B72777" w:rsidP="00B7277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F2A42AE" w14:textId="29223BAC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157F181" w14:textId="45D8A84C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3BD3B8F" w14:textId="2DA2AF86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5346199" w14:textId="52D669D7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6A73932" w14:textId="5849EFB4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77DC39A" w14:textId="1EC5C469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682"/>
      </w:tblGrid>
      <w:tr w:rsidR="00642046" w:rsidRPr="00642046" w14:paraId="378E909B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C87B2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TRAVEL SHOP PACK </w:t>
            </w:r>
          </w:p>
        </w:tc>
      </w:tr>
      <w:tr w:rsidR="00642046" w:rsidRPr="00642046" w14:paraId="1F231179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551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642046" w:rsidRPr="00642046" w14:paraId="2F5CAC7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218C4" w14:textId="3A74E593" w:rsidR="00642046" w:rsidRPr="00642046" w:rsidRDefault="00642046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CC77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5D9BE4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05C32" w14:textId="6F8ADB2B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nocturnos entre las 22:00hrs y las 06:00hrs, precio por reserva 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DA847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768AFE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2231D" w14:textId="4F7B185F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matutinos entre las 06:00 y las 06:29hrs </w:t>
            </w:r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Nota: No se cobrará si los pasajeros aceptan esperar al asistente a partir de las 06:30 </w:t>
            </w:r>
            <w:proofErr w:type="spellStart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hrs</w:t>
            </w:r>
            <w:proofErr w:type="spellEnd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9EC9A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2849E83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EEAD9" w14:textId="3ADBC747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Na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rita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NRT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y entre las 01:00 y 9:30 desde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aneda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HND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), precio por reserva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3FA1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603AD7BB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627"/>
      </w:tblGrid>
      <w:tr w:rsidR="001448C6" w:rsidRPr="001448C6" w14:paraId="663B3BBB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2481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TURISTA</w:t>
            </w:r>
          </w:p>
        </w:tc>
      </w:tr>
      <w:tr w:rsidR="001448C6" w:rsidRPr="001448C6" w14:paraId="13525860" w14:textId="77777777" w:rsidTr="00E209DD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7118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44669759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50642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F25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350</w:t>
            </w:r>
          </w:p>
        </w:tc>
      </w:tr>
      <w:tr w:rsidR="001448C6" w:rsidRPr="001448C6" w14:paraId="5C6C1C6E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8FD76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06052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660</w:t>
            </w:r>
          </w:p>
        </w:tc>
      </w:tr>
      <w:tr w:rsidR="001448C6" w:rsidRPr="001448C6" w14:paraId="1480ECD6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B7E81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7F2823AE" w14:textId="77777777" w:rsidTr="00E209DD">
        <w:trPr>
          <w:trHeight w:val="25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9CA5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58982BFB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BDD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84C77E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1E5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8B7203A" w14:textId="77777777" w:rsidTr="00E209DD">
        <w:trPr>
          <w:trHeight w:val="271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2F7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8FF0B31" w14:textId="3C47404F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620"/>
      </w:tblGrid>
      <w:tr w:rsidR="001448C6" w:rsidRPr="001448C6" w14:paraId="00F6E112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A005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PRIMERA</w:t>
            </w:r>
          </w:p>
        </w:tc>
      </w:tr>
      <w:tr w:rsidR="001448C6" w:rsidRPr="001448C6" w14:paraId="1FA2EC46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52FA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2BA32C94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EF20A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8391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295</w:t>
            </w:r>
          </w:p>
        </w:tc>
      </w:tr>
      <w:tr w:rsidR="001448C6" w:rsidRPr="001448C6" w14:paraId="531AB6FA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01F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E5D4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535</w:t>
            </w:r>
          </w:p>
        </w:tc>
      </w:tr>
      <w:tr w:rsidR="001448C6" w:rsidRPr="001448C6" w14:paraId="396A1B20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EA812B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1B21CEFD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5F8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431115A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71C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0F4203A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8CFA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F2B8B7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F689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4D70F11" w14:textId="39514427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DB06781" w14:textId="737FA9CF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A26469" w14:textId="07F2CD84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8C2EB5E" w14:textId="38CC2148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A25A079" w14:textId="608A0936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A9052DB" w14:textId="7DC76728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5CD744C" w14:textId="15F370BD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738B011" w14:textId="14C758DD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EA8E436" w14:textId="7047C1DB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BE4F163" w14:textId="77777777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1105"/>
      </w:tblGrid>
      <w:tr w:rsidR="001448C6" w:rsidRPr="001448C6" w14:paraId="65A6034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AE52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 PREVIA EN OSAKA con desayuno</w:t>
            </w:r>
          </w:p>
        </w:tc>
      </w:tr>
      <w:tr w:rsidR="001448C6" w:rsidRPr="001448C6" w14:paraId="2EB695C9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7DA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1448C6" w:rsidRPr="001448C6" w14:paraId="74C7298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D0E3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852A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180</w:t>
            </w:r>
          </w:p>
        </w:tc>
      </w:tr>
      <w:tr w:rsidR="001448C6" w:rsidRPr="001448C6" w14:paraId="6CF7A6D4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0D9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48E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170</w:t>
            </w:r>
          </w:p>
        </w:tc>
      </w:tr>
      <w:tr w:rsidR="001448C6" w:rsidRPr="001448C6" w14:paraId="2456C240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011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E7C6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310</w:t>
            </w:r>
          </w:p>
        </w:tc>
      </w:tr>
      <w:tr w:rsidR="001448C6" w:rsidRPr="001448C6" w14:paraId="5D04C80F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6D463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EAA37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230</w:t>
            </w:r>
          </w:p>
        </w:tc>
      </w:tr>
      <w:tr w:rsidR="001448C6" w:rsidRPr="001448C6" w14:paraId="43E14CA5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BDD9D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194AB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220</w:t>
            </w:r>
          </w:p>
        </w:tc>
      </w:tr>
      <w:tr w:rsidR="001448C6" w:rsidRPr="001448C6" w14:paraId="3071730A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63EC4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C37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380</w:t>
            </w:r>
          </w:p>
        </w:tc>
      </w:tr>
      <w:tr w:rsidR="001448C6" w:rsidRPr="001448C6" w14:paraId="1BC412B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05EDD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En caso de que soliciten noches extras p</w:t>
            </w:r>
            <w:bookmarkStart w:id="1" w:name="_GoBack"/>
            <w:bookmarkEnd w:id="1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ara las fechas de Golden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1448C6" w:rsidRPr="001448C6" w14:paraId="0D1EF49F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96F4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180FE6B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336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E524DA1" w14:textId="59C7CEC1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15395BB" w14:textId="5EA41C0C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8D4CE87" w14:textId="7703E688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BAFF946" w14:textId="58FAD4A9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9BD3655" w14:textId="5ADA13AC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31A18C" w14:textId="3A0F5F9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AD1D9C5" w14:textId="5F9C5F3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CFCA1C3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642046" w:rsidSect="002A2590">
      <w:headerReference w:type="default" r:id="rId9"/>
      <w:footerReference w:type="default" r:id="rId10"/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D7CB4" w14:textId="77777777" w:rsidR="000C2A50" w:rsidRDefault="000C2A50" w:rsidP="000D4B74">
      <w:r>
        <w:separator/>
      </w:r>
    </w:p>
  </w:endnote>
  <w:endnote w:type="continuationSeparator" w:id="0">
    <w:p w14:paraId="762ADCE6" w14:textId="77777777" w:rsidR="000C2A50" w:rsidRDefault="000C2A5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4F2C9F" w:rsidRDefault="004F2C9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9AF68" w14:textId="77777777" w:rsidR="000C2A50" w:rsidRDefault="000C2A50" w:rsidP="000D4B74">
      <w:r>
        <w:separator/>
      </w:r>
    </w:p>
  </w:footnote>
  <w:footnote w:type="continuationSeparator" w:id="0">
    <w:p w14:paraId="33D0235F" w14:textId="77777777" w:rsidR="000C2A50" w:rsidRDefault="000C2A5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0EC08590" w:rsidR="004F2C9F" w:rsidRPr="0070467E" w:rsidRDefault="004F2C9F" w:rsidP="007046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6B755152" wp14:editId="00512394">
          <wp:simplePos x="0" y="0"/>
          <wp:positionH relativeFrom="column">
            <wp:posOffset>3759200</wp:posOffset>
          </wp:positionH>
          <wp:positionV relativeFrom="paragraph">
            <wp:posOffset>280670</wp:posOffset>
          </wp:positionV>
          <wp:extent cx="1028700" cy="6858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7A022A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26E83CA" w:rsidR="004F2C9F" w:rsidRDefault="004F2C9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ESENCIAL Y RUTA DEL NORTE</w:t>
                          </w:r>
                        </w:p>
                        <w:p w14:paraId="041A546C" w14:textId="0DA78CB1" w:rsidR="004F2C9F" w:rsidRPr="00983E4D" w:rsidRDefault="004F2C9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3314-E2026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26E83CA" w:rsidR="004F2C9F" w:rsidRDefault="004F2C9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ESENCIAL Y RUTA DEL NORTE</w:t>
                    </w:r>
                  </w:p>
                  <w:p w14:paraId="041A546C" w14:textId="0DA78CB1" w:rsidR="004F2C9F" w:rsidRPr="00983E4D" w:rsidRDefault="004F2C9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3314-E2026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67D449A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11.25pt;height:11.25pt" o:bullet="t">
        <v:imagedata r:id="rId1" o:title="mso88"/>
      </v:shape>
    </w:pict>
  </w:numPicBullet>
  <w:numPicBullet w:numPicBulletId="1">
    <w:pict>
      <v:shape id="_x0000_i1279" type="#_x0000_t75" style="width:927.75pt;height:1200pt" o:bullet="t">
        <v:imagedata r:id="rId2" o:title="peligro"/>
      </v:shape>
    </w:pict>
  </w:numPicBullet>
  <w:abstractNum w:abstractNumId="0" w15:restartNumberingAfterBreak="0">
    <w:nsid w:val="01EB3F9E"/>
    <w:multiLevelType w:val="multilevel"/>
    <w:tmpl w:val="BA3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D38"/>
    <w:multiLevelType w:val="multilevel"/>
    <w:tmpl w:val="A96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9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D608E"/>
    <w:multiLevelType w:val="multilevel"/>
    <w:tmpl w:val="D14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6A491B"/>
    <w:multiLevelType w:val="multilevel"/>
    <w:tmpl w:val="C5B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701F4"/>
    <w:multiLevelType w:val="multilevel"/>
    <w:tmpl w:val="148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9"/>
  </w:num>
  <w:num w:numId="5">
    <w:abstractNumId w:val="8"/>
  </w:num>
  <w:num w:numId="6">
    <w:abstractNumId w:val="37"/>
  </w:num>
  <w:num w:numId="7">
    <w:abstractNumId w:val="1"/>
  </w:num>
  <w:num w:numId="8">
    <w:abstractNumId w:val="28"/>
  </w:num>
  <w:num w:numId="9">
    <w:abstractNumId w:val="29"/>
  </w:num>
  <w:num w:numId="10">
    <w:abstractNumId w:val="5"/>
  </w:num>
  <w:num w:numId="11">
    <w:abstractNumId w:val="3"/>
  </w:num>
  <w:num w:numId="12">
    <w:abstractNumId w:val="40"/>
  </w:num>
  <w:num w:numId="13">
    <w:abstractNumId w:val="27"/>
  </w:num>
  <w:num w:numId="14">
    <w:abstractNumId w:val="27"/>
  </w:num>
  <w:num w:numId="15">
    <w:abstractNumId w:val="42"/>
  </w:num>
  <w:num w:numId="16">
    <w:abstractNumId w:val="21"/>
  </w:num>
  <w:num w:numId="17">
    <w:abstractNumId w:val="6"/>
  </w:num>
  <w:num w:numId="18">
    <w:abstractNumId w:val="41"/>
  </w:num>
  <w:num w:numId="19">
    <w:abstractNumId w:val="38"/>
  </w:num>
  <w:num w:numId="20">
    <w:abstractNumId w:val="35"/>
  </w:num>
  <w:num w:numId="21">
    <w:abstractNumId w:val="30"/>
  </w:num>
  <w:num w:numId="22">
    <w:abstractNumId w:val="10"/>
  </w:num>
  <w:num w:numId="23">
    <w:abstractNumId w:val="43"/>
  </w:num>
  <w:num w:numId="24">
    <w:abstractNumId w:val="25"/>
  </w:num>
  <w:num w:numId="25">
    <w:abstractNumId w:val="33"/>
  </w:num>
  <w:num w:numId="26">
    <w:abstractNumId w:val="45"/>
  </w:num>
  <w:num w:numId="27">
    <w:abstractNumId w:val="12"/>
  </w:num>
  <w:num w:numId="28">
    <w:abstractNumId w:val="17"/>
  </w:num>
  <w:num w:numId="29">
    <w:abstractNumId w:val="31"/>
  </w:num>
  <w:num w:numId="30">
    <w:abstractNumId w:val="20"/>
  </w:num>
  <w:num w:numId="31">
    <w:abstractNumId w:val="14"/>
  </w:num>
  <w:num w:numId="32">
    <w:abstractNumId w:val="22"/>
  </w:num>
  <w:num w:numId="33">
    <w:abstractNumId w:val="36"/>
  </w:num>
  <w:num w:numId="34">
    <w:abstractNumId w:val="44"/>
  </w:num>
  <w:num w:numId="35">
    <w:abstractNumId w:val="9"/>
  </w:num>
  <w:num w:numId="36">
    <w:abstractNumId w:val="18"/>
  </w:num>
  <w:num w:numId="37">
    <w:abstractNumId w:val="34"/>
  </w:num>
  <w:num w:numId="38">
    <w:abstractNumId w:val="39"/>
  </w:num>
  <w:num w:numId="39">
    <w:abstractNumId w:val="23"/>
  </w:num>
  <w:num w:numId="40">
    <w:abstractNumId w:val="24"/>
  </w:num>
  <w:num w:numId="41">
    <w:abstractNumId w:val="11"/>
  </w:num>
  <w:num w:numId="42">
    <w:abstractNumId w:val="7"/>
  </w:num>
  <w:num w:numId="43">
    <w:abstractNumId w:val="15"/>
  </w:num>
  <w:num w:numId="44">
    <w:abstractNumId w:val="0"/>
  </w:num>
  <w:num w:numId="45">
    <w:abstractNumId w:val="13"/>
  </w:num>
  <w:num w:numId="46">
    <w:abstractNumId w:val="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375D"/>
    <w:rsid w:val="00006D0E"/>
    <w:rsid w:val="00007994"/>
    <w:rsid w:val="00014D68"/>
    <w:rsid w:val="000323E8"/>
    <w:rsid w:val="0003643E"/>
    <w:rsid w:val="00043BBC"/>
    <w:rsid w:val="00051535"/>
    <w:rsid w:val="00051BFE"/>
    <w:rsid w:val="00053C14"/>
    <w:rsid w:val="00053F74"/>
    <w:rsid w:val="00055CF3"/>
    <w:rsid w:val="00064238"/>
    <w:rsid w:val="000700D6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2A50"/>
    <w:rsid w:val="000D390C"/>
    <w:rsid w:val="000D4B74"/>
    <w:rsid w:val="000E0E14"/>
    <w:rsid w:val="000E286B"/>
    <w:rsid w:val="000F0172"/>
    <w:rsid w:val="000F2B62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48C6"/>
    <w:rsid w:val="00146861"/>
    <w:rsid w:val="00146B2E"/>
    <w:rsid w:val="001475E5"/>
    <w:rsid w:val="00151503"/>
    <w:rsid w:val="00152D96"/>
    <w:rsid w:val="00161F83"/>
    <w:rsid w:val="001701DB"/>
    <w:rsid w:val="0017236E"/>
    <w:rsid w:val="001729CE"/>
    <w:rsid w:val="001756B9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450E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B1275"/>
    <w:rsid w:val="002C400E"/>
    <w:rsid w:val="002D1562"/>
    <w:rsid w:val="002D3B8E"/>
    <w:rsid w:val="002D4A46"/>
    <w:rsid w:val="002D4F83"/>
    <w:rsid w:val="002E096E"/>
    <w:rsid w:val="002E1DFB"/>
    <w:rsid w:val="002E20A5"/>
    <w:rsid w:val="002E4C5F"/>
    <w:rsid w:val="002E777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17EDF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2BC8"/>
    <w:rsid w:val="003856CB"/>
    <w:rsid w:val="00386E61"/>
    <w:rsid w:val="0038774D"/>
    <w:rsid w:val="003902C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127DA"/>
    <w:rsid w:val="00425F2C"/>
    <w:rsid w:val="004262D6"/>
    <w:rsid w:val="00431235"/>
    <w:rsid w:val="00432676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E6407"/>
    <w:rsid w:val="004F2C9F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BA"/>
    <w:rsid w:val="00595BFB"/>
    <w:rsid w:val="00596980"/>
    <w:rsid w:val="005A4824"/>
    <w:rsid w:val="005C0444"/>
    <w:rsid w:val="005C198E"/>
    <w:rsid w:val="005C454E"/>
    <w:rsid w:val="005C6821"/>
    <w:rsid w:val="005D03DE"/>
    <w:rsid w:val="005E289B"/>
    <w:rsid w:val="005F0309"/>
    <w:rsid w:val="005F0DD1"/>
    <w:rsid w:val="0060307E"/>
    <w:rsid w:val="0060391A"/>
    <w:rsid w:val="00610B23"/>
    <w:rsid w:val="00621723"/>
    <w:rsid w:val="00632F34"/>
    <w:rsid w:val="00642046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86AB3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467E"/>
    <w:rsid w:val="007061FB"/>
    <w:rsid w:val="007147EF"/>
    <w:rsid w:val="00716991"/>
    <w:rsid w:val="007213F1"/>
    <w:rsid w:val="007216D9"/>
    <w:rsid w:val="00722BEE"/>
    <w:rsid w:val="007240CC"/>
    <w:rsid w:val="0074476C"/>
    <w:rsid w:val="007448E8"/>
    <w:rsid w:val="00745945"/>
    <w:rsid w:val="00761926"/>
    <w:rsid w:val="007661B4"/>
    <w:rsid w:val="00766A72"/>
    <w:rsid w:val="00767E90"/>
    <w:rsid w:val="00772E37"/>
    <w:rsid w:val="00774DFC"/>
    <w:rsid w:val="007772DE"/>
    <w:rsid w:val="00780DA0"/>
    <w:rsid w:val="00785FC6"/>
    <w:rsid w:val="00787154"/>
    <w:rsid w:val="007A62F4"/>
    <w:rsid w:val="007B4384"/>
    <w:rsid w:val="007C4C7D"/>
    <w:rsid w:val="007D254B"/>
    <w:rsid w:val="007D43AF"/>
    <w:rsid w:val="007E78F2"/>
    <w:rsid w:val="007F05A3"/>
    <w:rsid w:val="007F267C"/>
    <w:rsid w:val="007F3047"/>
    <w:rsid w:val="007F57C0"/>
    <w:rsid w:val="007F57EA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19C9"/>
    <w:rsid w:val="00894A9C"/>
    <w:rsid w:val="00897419"/>
    <w:rsid w:val="00897FBC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72428"/>
    <w:rsid w:val="00976B3C"/>
    <w:rsid w:val="00983E4D"/>
    <w:rsid w:val="00984CD5"/>
    <w:rsid w:val="00985317"/>
    <w:rsid w:val="009918FD"/>
    <w:rsid w:val="0099759B"/>
    <w:rsid w:val="009A1EDD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274B6"/>
    <w:rsid w:val="00A30801"/>
    <w:rsid w:val="00A31049"/>
    <w:rsid w:val="00A337AA"/>
    <w:rsid w:val="00A40804"/>
    <w:rsid w:val="00A4361C"/>
    <w:rsid w:val="00A4392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36B0F"/>
    <w:rsid w:val="00B44F70"/>
    <w:rsid w:val="00B466CF"/>
    <w:rsid w:val="00B56319"/>
    <w:rsid w:val="00B57683"/>
    <w:rsid w:val="00B607B2"/>
    <w:rsid w:val="00B63F69"/>
    <w:rsid w:val="00B6431B"/>
    <w:rsid w:val="00B654D4"/>
    <w:rsid w:val="00B7194C"/>
    <w:rsid w:val="00B72777"/>
    <w:rsid w:val="00B7750C"/>
    <w:rsid w:val="00B829DA"/>
    <w:rsid w:val="00B87AFF"/>
    <w:rsid w:val="00B93F40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C4471"/>
    <w:rsid w:val="00CD1546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610B"/>
    <w:rsid w:val="00D0734F"/>
    <w:rsid w:val="00D07B49"/>
    <w:rsid w:val="00D21D57"/>
    <w:rsid w:val="00D2489F"/>
    <w:rsid w:val="00D26E72"/>
    <w:rsid w:val="00D30491"/>
    <w:rsid w:val="00D30FF5"/>
    <w:rsid w:val="00D338AF"/>
    <w:rsid w:val="00D33D4F"/>
    <w:rsid w:val="00D37D28"/>
    <w:rsid w:val="00D433F2"/>
    <w:rsid w:val="00D461F2"/>
    <w:rsid w:val="00D519A9"/>
    <w:rsid w:val="00D52FD6"/>
    <w:rsid w:val="00D55FB0"/>
    <w:rsid w:val="00D6260F"/>
    <w:rsid w:val="00D62AB9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0D3"/>
    <w:rsid w:val="00DC6188"/>
    <w:rsid w:val="00DC72D0"/>
    <w:rsid w:val="00DC74B6"/>
    <w:rsid w:val="00DD04A8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209DD"/>
    <w:rsid w:val="00E25836"/>
    <w:rsid w:val="00E2722D"/>
    <w:rsid w:val="00E33B5C"/>
    <w:rsid w:val="00E4358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3664"/>
    <w:rsid w:val="00EC2B52"/>
    <w:rsid w:val="00EC3F09"/>
    <w:rsid w:val="00EC63E4"/>
    <w:rsid w:val="00EC7741"/>
    <w:rsid w:val="00ED1AC6"/>
    <w:rsid w:val="00ED4F5E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35B7"/>
    <w:rsid w:val="00F1356C"/>
    <w:rsid w:val="00F17754"/>
    <w:rsid w:val="00F22330"/>
    <w:rsid w:val="00F2306B"/>
    <w:rsid w:val="00F2636F"/>
    <w:rsid w:val="00F270CE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14F2-52F3-49D3-AE3F-4B7D9637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3022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63</cp:revision>
  <dcterms:created xsi:type="dcterms:W3CDTF">2025-11-05T23:29:00Z</dcterms:created>
  <dcterms:modified xsi:type="dcterms:W3CDTF">2025-11-06T20:10:00Z</dcterms:modified>
</cp:coreProperties>
</file>