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6973" w14:textId="7EDF8307" w:rsidR="00163109" w:rsidRDefault="00D54927" w:rsidP="00462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4"/>
          <w:szCs w:val="24"/>
          <w:lang w:eastAsia="fr-FR"/>
        </w:rPr>
      </w:pP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PAR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>Í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ÉPERNAY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HAUTIVILLERS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REIMS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METZ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ESTRASBURGO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COLMAR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BESANZON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MACON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LYON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DIJON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FOUNTANABLEU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PAR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>Í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S</w:t>
      </w:r>
    </w:p>
    <w:p w14:paraId="5F8A3B13" w14:textId="77777777" w:rsidR="004627B2" w:rsidRDefault="004627B2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</w:p>
    <w:p w14:paraId="75B26CE8" w14:textId="5B40C9CA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A78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003C4746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9A78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40F17866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LLEGADA A PARÍS</w:t>
      </w:r>
    </w:p>
    <w:p w14:paraId="2742BA60" w14:textId="51058EF8" w:rsidR="00CB5F62" w:rsidRPr="009A785F" w:rsidRDefault="009A785F" w:rsidP="009A78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Llegada y traslado desde el aeropuerto hasta el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3247E6DB" w14:textId="77777777" w:rsidR="009A785F" w:rsidRP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615C702A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</w:t>
      </w:r>
    </w:p>
    <w:p w14:paraId="5AF621FE" w14:textId="1BD98F84" w:rsidR="00CB5F62" w:rsidRPr="009A785F" w:rsidRDefault="009A785F" w:rsidP="009A78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recorrido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panorámic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o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medio día por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principales puntos de interés. Paris, la capital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Francia, es una ciudad vibrante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y llena de historia.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Conocida como la Ciudad de la Luz, es famosa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su arquitectura icónica, su gastronomía exquisita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ambiente romántico. Entre sus eventos históricos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más significativos se encuentra la Revolución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Francesa, que comenzó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la toma de la Bastilla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el 14 de julio de 1789. Este acontecimiento marcó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el inicio de profundos cambios políticos y sociales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en Francia. Durante la Belle Époque, la ciudad 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convirtió en un epicentro de creatividad, atrayendo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a artistas como Pablo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Picasso y escritores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Ernest Hemingway. Además, la construcción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Torre Eiffel en 1889 simbolizó el progreso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modernidad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de la época. No te pierdas lugares emblemáticos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como la Torre Eiffel, el Museo del Louvre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y el Arco del Triunfo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Aprovecha para pasear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las calles de Montmartre o a lo largo del río Sena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te permitirá disfrutar de su encanto único.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2AD3316A" w14:textId="77777777" w:rsid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9449F8" w14:textId="23E16540" w:rsidR="009A785F" w:rsidRDefault="004627B2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4627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PARÍS </w:t>
      </w:r>
      <w:r w:rsidRPr="009A785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ÉPERNAY - HAUTIVILLERS - REIMS </w:t>
      </w:r>
    </w:p>
    <w:p w14:paraId="65BE50EB" w14:textId="41D38914" w:rsidR="00CB5F62" w:rsidRPr="009A785F" w:rsidRDefault="009A785F" w:rsidP="009A78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Desayunaremos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emprenderemos nuestro viaje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la región de Champaña, famosa por su tradición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vinícola y paisajes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ondulados llenos de viñedos.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Nuestra primera parada será </w:t>
      </w:r>
      <w:proofErr w:type="spellStart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Épernay</w:t>
      </w:r>
      <w:proofErr w:type="spellEnd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, considerada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la capital del champán,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recorreremos la emblemática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Avenue de Champagne, una de las calles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más prestigiosas del mundo. Aquí se encuentran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históricas casas productoras como </w:t>
      </w:r>
      <w:proofErr w:type="spellStart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Moët</w:t>
      </w:r>
      <w:proofErr w:type="spellEnd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&amp; </w:t>
      </w:r>
      <w:proofErr w:type="spellStart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Chandon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y Perrier-</w:t>
      </w:r>
      <w:proofErr w:type="spellStart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Jouët</w:t>
      </w:r>
      <w:proofErr w:type="spellEnd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, cuyas elegantes mansiones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reflejan el prestigio de esta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bebida. Continuaremos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Hautvillers</w:t>
      </w:r>
      <w:proofErr w:type="spellEnd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, un pintoresco pueblo con encanto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medieval y cuna de la historia del champán. Aquí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vivió Dom </w:t>
      </w:r>
      <w:proofErr w:type="spellStart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Pérignon</w:t>
      </w:r>
      <w:proofErr w:type="spellEnd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, el monje benedictino que perfeccionó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el método de producción del champán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el siglo XVII.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paseo por sus calles nos permitirá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descubrir su abadía y admirar los viñedos que 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rodean. Después, llegaremos a Reims,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una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que combina elegancia y significado histórico.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Realizaremos una panorámica para descubrir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impresionante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Catedral de </w:t>
      </w:r>
      <w:proofErr w:type="spellStart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-Dame de Reims,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donde se coronaron casi todos los reyes de Francia.</w:t>
      </w:r>
      <w:r w:rsid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Sus majestuosos vitrales y su arquitectura gótica</w:t>
      </w:r>
      <w:r w:rsid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la convierten en un sitio imprescindible. Para una</w:t>
      </w:r>
      <w:r w:rsid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experiencia única,</w:t>
      </w:r>
      <w:r w:rsid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disfrutaremos de una selecta degustación</w:t>
      </w:r>
      <w:r w:rsidR="00780062" w:rsidRPr="007800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la prestigiosa región de Champagne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cuna de los mejores espumosos del mundo.</w:t>
      </w:r>
      <w:r w:rsid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780062"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 w:rsidR="007800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75A0F7FD" w14:textId="77777777" w:rsid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FBAEDA3" w14:textId="568F48AF" w:rsidR="00953766" w:rsidRPr="00163109" w:rsidRDefault="004627B2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78006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REIMS - METZ – ESTRASBURGO</w:t>
      </w:r>
    </w:p>
    <w:p w14:paraId="04176485" w14:textId="4F028853" w:rsidR="00CB5F62" w:rsidRPr="00780062" w:rsidRDefault="00780062" w:rsidP="0078006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7800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dejaremos nuestro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en Reims para dirigirnos a Metz. Esta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tiene una rica herencia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medieval y una fuerte influencia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germánica. Su Catedral de San Esteban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es famosa por sus impresionantes vitrales, algunos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diseñados por Marc Chagall. Metz también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alberga el Centro Pompidou-Metz, un museo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arte contemporáneo que refleja la modernidad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de la ciudad. Su historia se entrelaza con la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Alemania, ya que fue parte del Imperio Alemán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entre 1871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1918. Tendremos </w:t>
      </w:r>
      <w:r w:rsidRPr="007800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 y saborear la gastronomía local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. Nuestra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próxima y última parada de hoy será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Estrasburgo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que es la capital de Alsacia y sede del Parlamento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Europeo. Realizaremos un recorrido a pie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admirar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majestuosa Catedral de </w:t>
      </w:r>
      <w:proofErr w:type="spellStart"/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-Dame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de Estrasburgo, una obra maestra del gótico que,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con su impresionante espira de 142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metros, fue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edificio más alto del mundo entre 1647 y 1874.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reloj astronómico, una maravilla de la ingeniería,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sigue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fascinando a visitantes con su compleja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mecánica y desfile de figuras. El Barrio de la </w:t>
      </w:r>
      <w:proofErr w:type="spellStart"/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Petite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France es un lugar encantador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con casas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entramado de madera y canales pintorescos.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ciudad es famosa por su gastronomía alsaciana,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especialmente la </w:t>
      </w:r>
      <w:proofErr w:type="spellStart"/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choucroute</w:t>
      </w:r>
      <w:proofErr w:type="spellEnd"/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</w:t>
      </w:r>
      <w:proofErr w:type="spellStart"/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flammekueche</w:t>
      </w:r>
      <w:proofErr w:type="spellEnd"/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5D5C90B5" w14:textId="006A3ECC" w:rsidR="00953766" w:rsidRPr="00163109" w:rsidRDefault="004627B2" w:rsidP="0078006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5| </w:t>
      </w:r>
      <w:r w:rsidRPr="0078006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ESTRASBURGO – COLMAR – BESANZON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78006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– MACON – LYON</w:t>
      </w:r>
    </w:p>
    <w:p w14:paraId="1DE889C8" w14:textId="689A3BAF" w:rsidR="00CB5F62" w:rsidRPr="00780062" w:rsidRDefault="00780062" w:rsidP="0078006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00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Desayunaremos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saldremos de Estrasburgo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para llegar a nuestra primera parada,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alsaciana de Colmar. Esta joya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medieval, cercana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a la frontera con Alemania y capital del departamento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del Alto Rin, es conocida por sus casas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fachadas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coloridas y entramados de madera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tejen una historia de belleza y tradición cautivadora.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Haremos un breve recorrido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por la Pequeña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Venecia, un barrio con canales encantadores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que recuerdan a la ciudad italiana. La Plaza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la Catedral es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lugar ideal para una foto y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absorber el ambiente local. Seguidamente, 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transportaremos a Besanzón, famosa por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historia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militar y cultural. Disfrutaremos de una vista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panorámica de la Ciudadela de Besanzón, diseñada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por Vauban. Aquí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realizaremos una </w:t>
      </w:r>
      <w:r w:rsidRPr="002B7B3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pausa para el almuerzo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(no incluido)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antes de continuar el viaje. Después,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viajaremos hasta Macon, donde haremos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una breve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parada para recorrer su casco antiguo, admirar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sus fachadas coloridas y sentir la esencia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ciudad. Finalmente,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llegaremos a Lyon, donde tendremos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la oportunidad de disfrutar del ambiente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nocturno de la ciudad, explorando sus calles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históricas o relajándonos antes del descanso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0062">
        <w:rPr>
          <w:rFonts w:asciiTheme="minorHAnsi" w:eastAsia="Arial" w:hAnsiTheme="minorHAnsi" w:cstheme="minorHAnsi"/>
          <w:color w:val="002060"/>
          <w:sz w:val="20"/>
          <w:szCs w:val="20"/>
        </w:rPr>
        <w:t>nuestro hotel.</w:t>
      </w:r>
      <w:r w:rsid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B7B37"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 w:rsidR="002B7B3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4728D460" w14:textId="77777777" w:rsidR="00780062" w:rsidRDefault="007800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B34AE02" w14:textId="55BD0D01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="002B7B3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LYON</w:t>
      </w:r>
    </w:p>
    <w:p w14:paraId="583125B6" w14:textId="59A9E0FA" w:rsidR="00CB5F62" w:rsidRPr="002B7B37" w:rsidRDefault="002B7B37" w:rsidP="002B7B3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2B7B3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, comenzaremos el día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explorando la Place des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Terreaux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, hogar de la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impresionante Fuente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Bartholdi</w:t>
      </w:r>
      <w:proofErr w:type="spellEnd"/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y el majestuoso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Ayuntamiento de Lyon. Luego, recorreremos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Vieux</w:t>
      </w:r>
      <w:proofErr w:type="spellEnd"/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Lyon, el barrio renacentista con sus emblemáticas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traboules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, pasajes secretos que conectan calles y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edificios históricos llenos de encanto. Ascenderemos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Basílica de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Dame de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Fourvière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, desde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donde podremos disfrutar de una vista panorámica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espectacular de la ciudad y sus alrededores.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 la visita matutina, tendremos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="00910424"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 almorzar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y explorar Lyon a nuestro ritmo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. Para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una experiencia cultural,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puedes visitar el Museo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de las Confluencias, un fascinante espacio de historia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natural y antropología, pasear por la orilla del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río Ródano, descubrir tiendas locales en la Rue de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République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o relajarte en el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Parc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Tête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d’Or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el parque más grande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la ciudad. La Plaza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Bellecour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uno de los puntos centrales de Lyon, será un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excelente lugar para encontrar un buen sitio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para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cenar y degustar especialidades locales como la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quenelle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(es una especie de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dumpling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francés, elaborado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con pescado,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carne o ave, y suele servirse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 salsa) y el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coq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au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vin</w:t>
      </w:r>
      <w:proofErr w:type="spellEnd"/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(guiso de pollo cocinado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lentamente en vino tinto, con panceta,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champiñones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B7B37">
        <w:rPr>
          <w:rFonts w:asciiTheme="minorHAnsi" w:eastAsia="Arial" w:hAnsiTheme="minorHAnsi" w:cstheme="minorHAnsi"/>
          <w:color w:val="002060"/>
          <w:sz w:val="20"/>
          <w:szCs w:val="20"/>
        </w:rPr>
        <w:t>y cebolla) antes de finalizar el día.</w:t>
      </w:r>
      <w:r w:rsid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10424"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 w:rsid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5ECCE288" w14:textId="77777777" w:rsidR="002B7B37" w:rsidRPr="002B7B37" w:rsidRDefault="002B7B37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176DB0" w14:textId="32505FAB" w:rsidR="00953766" w:rsidRPr="00163109" w:rsidRDefault="004627B2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91042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LYON – DIJON – FOUNTANABLEU - </w:t>
      </w:r>
      <w:r w:rsidRPr="004627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</w:t>
      </w:r>
    </w:p>
    <w:p w14:paraId="2015DBA4" w14:textId="2CD82FFC" w:rsidR="00CA7A1B" w:rsidRPr="00910424" w:rsidRDefault="00910424" w:rsidP="0091042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, salida en autobús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Dijon, la capital de Borgoña, famosa por su gastronomía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y su legado histórico.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Realizaremos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recorrido panorámico por la ciudad, pasando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el Palacio de los Duques de Borgoña, un emblema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arquitectónico de la región. No olvides probar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famosa mostaza de Dijon en alguna tienda local,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una especialidad que ha dado fama internacional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a la ciudad. Continuamos hacia Fontainebleau,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donde visitaremos uno de los castillos más imponentes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de Francia. Con más de 1,500 habitaciones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y rodeado de jardines espectaculares,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Castillo de Fontainebleau ha sido residencia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monarcas franceses durante siglos. Desde Francisco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I, quien transformó el castillo en un palacio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renacentista, hasta Enrique IV, que impulsó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esplendor, pasando por Luis XIII, Luis XIV y Napoleón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I, quien dejó su huella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con la única sala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del trono napoleónica que aún existe. La entrada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permite explorar sus impresionantes salones,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Galería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de Francisco I, la Capilla de la Trinidad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>los majestuosos apartamentos de Napoleón.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1AFEE19C" w14:textId="77777777" w:rsidR="00910424" w:rsidRPr="00910424" w:rsidRDefault="00910424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6ECA1C" w14:textId="473D0BFC" w:rsidR="00910424" w:rsidRDefault="004627B2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91042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PARÍS </w:t>
      </w:r>
    </w:p>
    <w:p w14:paraId="4EB3D02A" w14:textId="4F8176CF" w:rsidR="00163109" w:rsidRPr="00910424" w:rsidRDefault="00910424" w:rsidP="0091042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antes de su traslado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hotel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hasta el aeropuerto.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Fin de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los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servicios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FFFB9AB" w14:textId="77777777" w:rsidR="00910424" w:rsidRDefault="00910424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7F52CA1D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E6E3B2C" w14:textId="5D057500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7 noches en alojamiento y desayuno</w:t>
      </w:r>
    </w:p>
    <w:p w14:paraId="615CB675" w14:textId="371E8915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Entradas: Degustación de champán en la región de Champaña y Entrada al Castillo de Fontainebleau</w:t>
      </w:r>
    </w:p>
    <w:p w14:paraId="3CD093AD" w14:textId="77777777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Tours panorámicos de Paris, Reims y Dijon</w:t>
      </w:r>
    </w:p>
    <w:p w14:paraId="0A19D3F1" w14:textId="77777777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Recorridos guiados a pie: Estrasburgo, Colmar y Lyon</w:t>
      </w:r>
    </w:p>
    <w:p w14:paraId="4F498BBE" w14:textId="289B022C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entre el aeropuerto y el hotel.</w:t>
      </w:r>
    </w:p>
    <w:p w14:paraId="5382D456" w14:textId="77777777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hispana.</w:t>
      </w:r>
    </w:p>
    <w:p w14:paraId="5D18B8B0" w14:textId="77777777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similares.</w:t>
      </w:r>
    </w:p>
    <w:p w14:paraId="460D58DF" w14:textId="77777777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moderno.</w:t>
      </w:r>
    </w:p>
    <w:p w14:paraId="58B4C954" w14:textId="77777777" w:rsidR="00910424" w:rsidRPr="00910424" w:rsidRDefault="0091042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9172A0C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07A67083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2574405" w14:textId="77777777" w:rsidR="004627B2" w:rsidRPr="004627B2" w:rsidRDefault="004627B2" w:rsidP="004627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Horarios de Recogida:</w:t>
      </w:r>
    </w:p>
    <w:p w14:paraId="48D95F30" w14:textId="50B36D5B" w:rsidR="004627B2" w:rsidRPr="004627B2" w:rsidRDefault="004627B2" w:rsidP="004627B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• Día 2 (Excursión Panorámica de medio día en París): 08:30 h en el hotel del tour</w:t>
      </w:r>
    </w:p>
    <w:p w14:paraId="2ED9D45E" w14:textId="33153C34" w:rsidR="004627B2" w:rsidRDefault="004627B2" w:rsidP="004627B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• Día 3 (Salida desde París) Recogida en autocar tras el </w:t>
      </w:r>
      <w:proofErr w:type="spellStart"/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check-out</w:t>
      </w:r>
      <w:proofErr w:type="spellEnd"/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: 08:00 h en el hotel del tour</w:t>
      </w:r>
    </w:p>
    <w:p w14:paraId="489D2E43" w14:textId="77777777" w:rsidR="00581226" w:rsidRDefault="00581226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37588139" w14:textId="77777777" w:rsidR="004627B2" w:rsidRPr="004627B2" w:rsidRDefault="004627B2" w:rsidP="004627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CITY TAX FRANCIA: Todas las ciudades de este itinerario incluirán un impuesto turístico local (City </w:t>
      </w:r>
      <w:proofErr w:type="spellStart"/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Tax</w:t>
      </w:r>
      <w:proofErr w:type="spellEnd"/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), destinado</w:t>
      </w:r>
    </w:p>
    <w:p w14:paraId="0D16819F" w14:textId="59623E3F" w:rsidR="004627B2" w:rsidRDefault="004627B2" w:rsidP="004627B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a mejorar la infraestructura y los servicios de la ciudad. El costo ya está incluido en el precio del tour.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3348"/>
        <w:gridCol w:w="467"/>
      </w:tblGrid>
      <w:tr w:rsidR="004627B2" w:rsidRPr="004627B2" w14:paraId="4EF6EB35" w14:textId="77777777" w:rsidTr="004627B2">
        <w:trPr>
          <w:trHeight w:val="409"/>
          <w:jc w:val="center"/>
        </w:trPr>
        <w:tc>
          <w:tcPr>
            <w:tcW w:w="5248" w:type="dxa"/>
            <w:gridSpan w:val="3"/>
            <w:tcBorders>
              <w:top w:val="single" w:sz="12" w:space="0" w:color="FFC000"/>
              <w:left w:val="single" w:sz="12" w:space="0" w:color="FFC000"/>
              <w:bottom w:val="nil"/>
              <w:right w:val="single" w:sz="12" w:space="0" w:color="FFC000"/>
            </w:tcBorders>
            <w:shd w:val="clear" w:color="000000" w:fill="FFC000"/>
            <w:vAlign w:val="center"/>
            <w:hideMark/>
          </w:tcPr>
          <w:p w14:paraId="1409971D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4627B2" w:rsidRPr="004627B2" w14:paraId="0BEB19AF" w14:textId="77777777" w:rsidTr="004627B2">
        <w:trPr>
          <w:trHeight w:val="215"/>
          <w:jc w:val="center"/>
        </w:trPr>
        <w:tc>
          <w:tcPr>
            <w:tcW w:w="1444" w:type="dxa"/>
            <w:tcBorders>
              <w:top w:val="nil"/>
              <w:left w:val="single" w:sz="12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71AA2884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27E14F1C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BEEC9"/>
            <w:noWrap/>
            <w:vAlign w:val="center"/>
            <w:hideMark/>
          </w:tcPr>
          <w:p w14:paraId="09A4A218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4627B2" w:rsidRPr="004627B2" w14:paraId="34001CE6" w14:textId="77777777" w:rsidTr="004627B2">
        <w:trPr>
          <w:trHeight w:val="256"/>
          <w:jc w:val="center"/>
        </w:trPr>
        <w:tc>
          <w:tcPr>
            <w:tcW w:w="1444" w:type="dxa"/>
            <w:tcBorders>
              <w:top w:val="nil"/>
              <w:left w:val="single" w:sz="12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5136F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PARÍS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76064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MERCURE PARIS LA DEFENSE PARIS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FFFFF"/>
            <w:noWrap/>
            <w:vAlign w:val="center"/>
            <w:hideMark/>
          </w:tcPr>
          <w:p w14:paraId="7409B8B6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4627B2" w:rsidRPr="004627B2" w14:paraId="45F011A2" w14:textId="77777777" w:rsidTr="004627B2">
        <w:trPr>
          <w:trHeight w:val="256"/>
          <w:jc w:val="center"/>
        </w:trPr>
        <w:tc>
          <w:tcPr>
            <w:tcW w:w="1444" w:type="dxa"/>
            <w:tcBorders>
              <w:top w:val="nil"/>
              <w:left w:val="single" w:sz="12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163EC" w14:textId="7801EFD3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REIMS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30955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NOVOTEL SUITES REIMS CENTRE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FFFFF"/>
            <w:noWrap/>
            <w:vAlign w:val="center"/>
            <w:hideMark/>
          </w:tcPr>
          <w:p w14:paraId="08C9EF5A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4627B2" w:rsidRPr="004627B2" w14:paraId="654FF7D5" w14:textId="77777777" w:rsidTr="004627B2">
        <w:trPr>
          <w:trHeight w:val="223"/>
          <w:jc w:val="center"/>
        </w:trPr>
        <w:tc>
          <w:tcPr>
            <w:tcW w:w="1444" w:type="dxa"/>
            <w:tcBorders>
              <w:top w:val="nil"/>
              <w:left w:val="single" w:sz="12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147B3" w14:textId="7D5A69C2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ESTRASBURGO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85B51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NOVOTEL STRASBOURG LES HALLES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FFFFF"/>
            <w:noWrap/>
            <w:vAlign w:val="center"/>
            <w:hideMark/>
          </w:tcPr>
          <w:p w14:paraId="60242297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4627B2" w:rsidRPr="004627B2" w14:paraId="38FF2214" w14:textId="77777777" w:rsidTr="004627B2">
        <w:trPr>
          <w:trHeight w:val="223"/>
          <w:jc w:val="center"/>
        </w:trPr>
        <w:tc>
          <w:tcPr>
            <w:tcW w:w="1444" w:type="dxa"/>
            <w:tcBorders>
              <w:top w:val="nil"/>
              <w:left w:val="single" w:sz="12" w:space="0" w:color="FFC000"/>
              <w:bottom w:val="single" w:sz="12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47E3A5AF" w14:textId="10983E4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LYON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12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0357F55B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CROWNE PLAZA LYON CITY INTER</w:t>
            </w: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FFC000"/>
              <w:right w:val="single" w:sz="12" w:space="0" w:color="FFC000"/>
            </w:tcBorders>
            <w:shd w:val="clear" w:color="000000" w:fill="FFFFFF"/>
            <w:noWrap/>
            <w:vAlign w:val="center"/>
            <w:hideMark/>
          </w:tcPr>
          <w:p w14:paraId="606C622C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</w:tbl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03CD8E1" w14:textId="77777777" w:rsidR="004627B2" w:rsidRDefault="004627B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613"/>
      </w:tblGrid>
      <w:tr w:rsidR="004627B2" w:rsidRPr="004627B2" w14:paraId="08EE010C" w14:textId="77777777" w:rsidTr="004627B2">
        <w:trPr>
          <w:trHeight w:val="420"/>
          <w:jc w:val="center"/>
        </w:trPr>
        <w:tc>
          <w:tcPr>
            <w:tcW w:w="2384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48A8A5D0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4627B2" w:rsidRPr="004627B2" w14:paraId="0C7CCB39" w14:textId="77777777" w:rsidTr="004627B2">
        <w:trPr>
          <w:trHeight w:val="221"/>
          <w:jc w:val="center"/>
        </w:trPr>
        <w:tc>
          <w:tcPr>
            <w:tcW w:w="2384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2DAACCBA" w14:textId="77777777" w:rsidR="004627B2" w:rsidRPr="004627B2" w:rsidRDefault="004627B2" w:rsidP="004627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4627B2" w:rsidRPr="004627B2" w14:paraId="2C57D314" w14:textId="77777777" w:rsidTr="004627B2">
        <w:trPr>
          <w:trHeight w:val="262"/>
          <w:jc w:val="center"/>
        </w:trPr>
        <w:tc>
          <w:tcPr>
            <w:tcW w:w="177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D0068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E55602E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4627B2" w:rsidRPr="004627B2" w14:paraId="79F01A7D" w14:textId="77777777" w:rsidTr="004627B2">
        <w:trPr>
          <w:trHeight w:val="262"/>
          <w:jc w:val="center"/>
        </w:trPr>
        <w:tc>
          <w:tcPr>
            <w:tcW w:w="177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95E3D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9B117EF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9,23</w:t>
            </w:r>
          </w:p>
        </w:tc>
      </w:tr>
      <w:tr w:rsidR="004627B2" w:rsidRPr="004627B2" w14:paraId="74474049" w14:textId="77777777" w:rsidTr="004627B2">
        <w:trPr>
          <w:trHeight w:val="229"/>
          <w:jc w:val="center"/>
        </w:trPr>
        <w:tc>
          <w:tcPr>
            <w:tcW w:w="177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5387B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3C47EF5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4627B2" w:rsidRPr="004627B2" w14:paraId="2ABB40BC" w14:textId="77777777" w:rsidTr="004627B2">
        <w:trPr>
          <w:trHeight w:val="229"/>
          <w:jc w:val="center"/>
        </w:trPr>
        <w:tc>
          <w:tcPr>
            <w:tcW w:w="177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A3511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752B374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</w:t>
            </w:r>
          </w:p>
        </w:tc>
      </w:tr>
      <w:tr w:rsidR="004627B2" w:rsidRPr="004627B2" w14:paraId="0E193C7F" w14:textId="77777777" w:rsidTr="004627B2">
        <w:trPr>
          <w:trHeight w:val="236"/>
          <w:jc w:val="center"/>
        </w:trPr>
        <w:tc>
          <w:tcPr>
            <w:tcW w:w="177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F2CBC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7540A3B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8,22</w:t>
            </w:r>
          </w:p>
        </w:tc>
      </w:tr>
      <w:tr w:rsidR="004627B2" w:rsidRPr="004627B2" w14:paraId="65CD4E66" w14:textId="77777777" w:rsidTr="004627B2">
        <w:trPr>
          <w:trHeight w:val="229"/>
          <w:jc w:val="center"/>
        </w:trPr>
        <w:tc>
          <w:tcPr>
            <w:tcW w:w="1771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79329D6A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5CDDE13" w14:textId="77777777" w:rsidR="004627B2" w:rsidRPr="004627B2" w:rsidRDefault="004627B2" w:rsidP="004627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627B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</w:t>
            </w:r>
          </w:p>
        </w:tc>
      </w:tr>
    </w:tbl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8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6"/>
        <w:gridCol w:w="763"/>
        <w:gridCol w:w="782"/>
      </w:tblGrid>
      <w:tr w:rsidR="00910126" w:rsidRPr="00910126" w14:paraId="4370549C" w14:textId="77777777" w:rsidTr="00910126">
        <w:trPr>
          <w:trHeight w:val="246"/>
          <w:jc w:val="center"/>
        </w:trPr>
        <w:tc>
          <w:tcPr>
            <w:tcW w:w="6831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0C41629A" w14:textId="77777777" w:rsidR="00910126" w:rsidRPr="00910126" w:rsidRDefault="00910126" w:rsidP="009101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910126" w:rsidRPr="00910126" w14:paraId="63890B5E" w14:textId="77777777" w:rsidTr="00910126">
        <w:trPr>
          <w:trHeight w:val="246"/>
          <w:jc w:val="center"/>
        </w:trPr>
        <w:tc>
          <w:tcPr>
            <w:tcW w:w="6831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476AB405" w14:textId="77777777" w:rsidR="00910126" w:rsidRPr="00910126" w:rsidRDefault="00910126" w:rsidP="009101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910126" w:rsidRPr="00910126" w14:paraId="0733F176" w14:textId="77777777" w:rsidTr="00910126">
        <w:trPr>
          <w:trHeight w:val="258"/>
          <w:jc w:val="center"/>
        </w:trPr>
        <w:tc>
          <w:tcPr>
            <w:tcW w:w="5286" w:type="dxa"/>
            <w:tcBorders>
              <w:top w:val="single" w:sz="8" w:space="0" w:color="FFC000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1B85F00A" w14:textId="77777777" w:rsidR="00910126" w:rsidRPr="00910126" w:rsidRDefault="00910126" w:rsidP="0091012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SABORES Y BELLEZAS DE FRANCIA</w:t>
            </w:r>
          </w:p>
        </w:tc>
        <w:tc>
          <w:tcPr>
            <w:tcW w:w="763" w:type="dxa"/>
            <w:tcBorders>
              <w:top w:val="single" w:sz="8" w:space="0" w:color="FFC000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7C566FC5" w14:textId="77777777" w:rsidR="00910126" w:rsidRPr="00910126" w:rsidRDefault="00910126" w:rsidP="009101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781" w:type="dxa"/>
            <w:tcBorders>
              <w:top w:val="single" w:sz="8" w:space="0" w:color="FFC000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1B0AC4FD" w14:textId="77777777" w:rsidR="00910126" w:rsidRPr="00910126" w:rsidRDefault="00910126" w:rsidP="009101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910126" w:rsidRPr="00910126" w14:paraId="15AC0753" w14:textId="77777777" w:rsidTr="00910126">
        <w:trPr>
          <w:trHeight w:val="258"/>
          <w:jc w:val="center"/>
        </w:trPr>
        <w:tc>
          <w:tcPr>
            <w:tcW w:w="528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2DD48" w14:textId="77777777" w:rsidR="00910126" w:rsidRPr="00910126" w:rsidRDefault="00910126" w:rsidP="0091012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2026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013CF" w14:textId="77777777" w:rsidR="00910126" w:rsidRPr="00910126" w:rsidRDefault="00910126" w:rsidP="009101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1F4C165" w14:textId="77777777" w:rsidR="00910126" w:rsidRPr="00910126" w:rsidRDefault="00910126" w:rsidP="009101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2970</w:t>
            </w:r>
          </w:p>
        </w:tc>
      </w:tr>
      <w:tr w:rsidR="00910126" w:rsidRPr="00910126" w14:paraId="706F7D39" w14:textId="77777777" w:rsidTr="00910126">
        <w:trPr>
          <w:trHeight w:val="258"/>
          <w:jc w:val="center"/>
        </w:trPr>
        <w:tc>
          <w:tcPr>
            <w:tcW w:w="6831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3A1C782" w14:textId="77777777" w:rsidR="00910126" w:rsidRPr="00910126" w:rsidRDefault="00910126" w:rsidP="009101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910126" w:rsidRPr="00910126" w14:paraId="7A6E7023" w14:textId="77777777" w:rsidTr="00910126">
        <w:trPr>
          <w:trHeight w:val="246"/>
          <w:jc w:val="center"/>
        </w:trPr>
        <w:tc>
          <w:tcPr>
            <w:tcW w:w="6831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023D9FD" w14:textId="77777777" w:rsidR="00910126" w:rsidRPr="00910126" w:rsidRDefault="00910126" w:rsidP="009101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101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06 DE OCTUBRE 2026</w:t>
            </w:r>
          </w:p>
        </w:tc>
      </w:tr>
    </w:tbl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B155" w14:textId="77777777" w:rsidR="003D0D20" w:rsidRDefault="003D0D20">
      <w:pPr>
        <w:spacing w:after="0" w:line="240" w:lineRule="auto"/>
      </w:pPr>
      <w:r>
        <w:separator/>
      </w:r>
    </w:p>
  </w:endnote>
  <w:endnote w:type="continuationSeparator" w:id="0">
    <w:p w14:paraId="6E2BA694" w14:textId="77777777" w:rsidR="003D0D20" w:rsidRDefault="003D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2D8A" w14:textId="77777777" w:rsidR="003D0D20" w:rsidRDefault="003D0D2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9CBBB17" w14:textId="77777777" w:rsidR="003D0D20" w:rsidRDefault="003D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D8DE7F5" w14:textId="77777777" w:rsidR="00BE7704" w:rsidRDefault="00BE7704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E7704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SABORES Y BELLEZAS DE FRANCIA </w:t>
                          </w:r>
                        </w:p>
                        <w:p w14:paraId="1259232A" w14:textId="5937120D" w:rsidR="00A0012D" w:rsidRPr="00673094" w:rsidRDefault="00FF1C7B" w:rsidP="00FF1C7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F1C7B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3293 -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D8DE7F5" w14:textId="77777777" w:rsidR="00BE7704" w:rsidRDefault="00BE7704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E7704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SABORES Y BELLEZAS DE FRANCIA </w:t>
                    </w:r>
                  </w:p>
                  <w:p w14:paraId="1259232A" w14:textId="5937120D" w:rsidR="00A0012D" w:rsidRPr="00673094" w:rsidRDefault="00FF1C7B" w:rsidP="00FF1C7B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F1C7B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3293 - 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B21F2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D0D20"/>
    <w:rsid w:val="003F3243"/>
    <w:rsid w:val="003F4C94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27B2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67F6E"/>
    <w:rsid w:val="00780062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A78D4"/>
    <w:rsid w:val="008B06EF"/>
    <w:rsid w:val="008B4065"/>
    <w:rsid w:val="008C242A"/>
    <w:rsid w:val="008C4013"/>
    <w:rsid w:val="008C50F3"/>
    <w:rsid w:val="008C56AB"/>
    <w:rsid w:val="008E5CC0"/>
    <w:rsid w:val="008F157E"/>
    <w:rsid w:val="008F4840"/>
    <w:rsid w:val="0090199B"/>
    <w:rsid w:val="00910126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27D1"/>
    <w:rsid w:val="009A785F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E7704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54927"/>
    <w:rsid w:val="00D67278"/>
    <w:rsid w:val="00D71BE3"/>
    <w:rsid w:val="00D92517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1C7B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1551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2025-10-22T21:32:00Z</dcterms:created>
  <dcterms:modified xsi:type="dcterms:W3CDTF">2025-10-29T18:56:00Z</dcterms:modified>
</cp:coreProperties>
</file>