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5240B1FA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TOKIO – HAKONE – NARA </w:t>
      </w:r>
      <w:r w:rsidR="00746082">
        <w:rPr>
          <w:rFonts w:asciiTheme="minorHAnsi" w:hAnsiTheme="minorHAnsi" w:cstheme="minorHAnsi"/>
          <w:b/>
          <w:color w:val="FF0000"/>
          <w:sz w:val="32"/>
        </w:rPr>
        <w:t>–</w:t>
      </w:r>
      <w:r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746082">
        <w:rPr>
          <w:rFonts w:asciiTheme="minorHAnsi" w:hAnsiTheme="minorHAnsi" w:cstheme="minorHAnsi"/>
          <w:b/>
          <w:color w:val="FF0000"/>
          <w:sz w:val="32"/>
        </w:rPr>
        <w:t>KIOTO - OSAKA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6E37856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23538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F8C492A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 abril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33F7BCC3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7D4E05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2706C32E" w:rsidR="00431C8A" w:rsidRPr="007236C2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Parque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lastRenderedPageBreak/>
        <w:t>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83E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431C8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Esta actividad debe reservarse con al menos tres semanas de anticipación y no estará disponible para venta en destino.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CD0F3D2" w14:textId="364DE74D" w:rsidR="003E0694" w:rsidRDefault="007574A3" w:rsidP="003E069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3E0694">
        <w:rPr>
          <w:rFonts w:asciiTheme="minorHAnsi" w:eastAsia="Arial" w:hAnsiTheme="minorHAnsi" w:cstheme="minorHAnsi"/>
          <w:b/>
          <w:color w:val="FF0000"/>
          <w:sz w:val="24"/>
          <w:szCs w:val="24"/>
        </w:rPr>
        <w:t>- Osaka</w:t>
      </w:r>
    </w:p>
    <w:p w14:paraId="3C644F0A" w14:textId="46197605" w:rsidR="003E0694" w:rsidRPr="003E0694" w:rsidRDefault="003E0694" w:rsidP="003E0694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Comienza el día con un delicioso </w:t>
      </w:r>
      <w:r w:rsidRPr="003E069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Posteriormente, iniciarás el recorrido por el majestuoso Castillo de Osaka, donde explorarás el hermoso parque que lo rodea y apreciarás su historia y arquitectura. Luego, te adentrarás en el bullicioso Mercado </w:t>
      </w:r>
      <w:proofErr w:type="spellStart"/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Kuromon</w:t>
      </w:r>
      <w:proofErr w:type="spellEnd"/>
      <w:r w:rsidRPr="003E0694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un lugar lleno de vida donde los aromas y colores de pescados frescos, mariscos, frutas y verduras te envolverán. Podrás disfrutar también de los famosos puestos de comida callejera, una experiencia auténtica del día a día en Osaka.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siguiente parada será el vibrante barrio de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famoso por sus animadas calles, restaurantes y fachadas extravagantes, incluyendo la icónica figura gigante de cangrejo, ideal para fotos memorables. Finalmente, traslado al hotel en Osaka para realizar el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-in. El almuerzo no está incluido, pero contarás con tiempo libre para degustar la gastronomía local en </w:t>
      </w:r>
      <w:proofErr w:type="spellStart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3E069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tu propio ritmo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3E069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64C9584E" w14:textId="6923C4E7" w:rsidR="00D20F0F" w:rsidRPr="00DD4438" w:rsidRDefault="00D20F0F" w:rsidP="003E0694">
      <w:pPr>
        <w:pStyle w:val="Ttulo2"/>
        <w:spacing w:before="0"/>
        <w:jc w:val="both"/>
        <w:rPr>
          <w:sz w:val="18"/>
          <w:lang w:val="es-MX" w:eastAsia="es-MX"/>
        </w:rPr>
      </w:pPr>
    </w:p>
    <w:p w14:paraId="3AC66186" w14:textId="1130AA2D" w:rsidR="003E0694" w:rsidRDefault="003E0694" w:rsidP="003E069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7FCB380C" w14:textId="6AB797FF" w:rsidR="00D74AF0" w:rsidRPr="00DE6D7E" w:rsidRDefault="00163AB2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 se realizará el traslado al aeropuerto. </w:t>
      </w:r>
      <w:r w:rsidR="00D74AF0" w:rsidRPr="00DE6D7E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3E03B789" w14:textId="7AAE5E62" w:rsidR="00D74AF0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</w:t>
      </w:r>
      <w:r w:rsidR="0031109F">
        <w:rPr>
          <w:rFonts w:asciiTheme="minorHAnsi" w:hAnsiTheme="minorHAnsi" w:cstheme="minorHAnsi"/>
          <w:b/>
          <w:color w:val="002060"/>
          <w:sz w:val="20"/>
          <w:szCs w:val="20"/>
        </w:rPr>
        <w:t>2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66907E4B" w14:textId="5049E5DA" w:rsidR="00D74AF0" w:rsidRPr="00D74AF0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DE6D7E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9C372A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</w:pPr>
      <w:r w:rsidRPr="009C372A"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  <w:t>Si el vuelo sale a las 08:00 a.m. o antes</w:t>
      </w:r>
    </w:p>
    <w:p w14:paraId="1C77A7A0" w14:textId="3D2C66F7" w:rsidR="00163AB2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163AB2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163AB2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Pr="009C372A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</w:pPr>
      <w:r w:rsidRPr="009C372A">
        <w:rPr>
          <w:rFonts w:asciiTheme="minorHAnsi" w:hAnsiTheme="minorHAnsi" w:cstheme="minorHAnsi"/>
          <w:b/>
          <w:bCs/>
          <w:color w:val="002060"/>
          <w:sz w:val="22"/>
          <w:szCs w:val="20"/>
          <w:lang w:val="es-MX" w:eastAsia="es-MX"/>
        </w:rPr>
        <w:t>Si el vuelo sale después de las 08:00 a.m.</w:t>
      </w:r>
    </w:p>
    <w:p w14:paraId="35666929" w14:textId="23E21D5F" w:rsidR="00163AB2" w:rsidRPr="00163AB2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un asistente de </w:t>
      </w:r>
      <w:r w:rsidRPr="00163AB2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DE6D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163AB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F5B661E" w:rsidR="00664597" w:rsidRPr="00DC6188" w:rsidRDefault="00A73F88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2D7703B7" w:rsidR="00664597" w:rsidRPr="00DC6188" w:rsidRDefault="008A2CD8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GoBack"/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1"/>
    <w:p w14:paraId="79FF0D9D" w14:textId="2A4B04F1" w:rsidR="003D132A" w:rsidRPr="00833CC4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28F27FDF" w:rsidR="00F2306B" w:rsidRPr="000F5A6E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4"/>
          <w:szCs w:val="20"/>
          <w:lang w:val="es-MX"/>
        </w:rPr>
      </w:pPr>
      <w:r w:rsidRPr="000F5A6E">
        <w:rPr>
          <w:rFonts w:asciiTheme="minorHAnsi" w:hAnsiTheme="minorHAnsi" w:cstheme="minorHAnsi"/>
          <w:b/>
          <w:color w:val="002060"/>
          <w:sz w:val="24"/>
          <w:szCs w:val="20"/>
          <w:lang w:val="es-MX"/>
        </w:rPr>
        <w:t>General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27FCEC52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5F03932D" w:rsidR="006E2A2A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46762AD2" w14:textId="77777777" w:rsidR="001561B8" w:rsidRPr="000F5A6E" w:rsidRDefault="001561B8" w:rsidP="001561B8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Cs w:val="20"/>
        </w:rPr>
      </w:pPr>
      <w:r w:rsidRPr="000F5A6E">
        <w:rPr>
          <w:rStyle w:val="Textoennegrita"/>
          <w:rFonts w:asciiTheme="minorHAnsi" w:hAnsiTheme="minorHAnsi" w:cstheme="minorHAnsi"/>
          <w:color w:val="002060"/>
          <w:szCs w:val="20"/>
        </w:rPr>
        <w:lastRenderedPageBreak/>
        <w:t>Traslados</w:t>
      </w:r>
    </w:p>
    <w:p w14:paraId="3E55A07E" w14:textId="77777777" w:rsidR="001561B8" w:rsidRPr="00766012" w:rsidRDefault="001561B8" w:rsidP="001561B8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75FAD252" w14:textId="77777777" w:rsidR="001561B8" w:rsidRPr="00454CC8" w:rsidRDefault="001561B8" w:rsidP="001561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326377BF" w14:textId="77777777" w:rsidR="001561B8" w:rsidRPr="00454CC8" w:rsidRDefault="001561B8" w:rsidP="001561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27320F00" w14:textId="2CF599DA" w:rsidR="001561B8" w:rsidRPr="00454CC8" w:rsidRDefault="001561B8" w:rsidP="001561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 Día 4 del hotel en Tokio a estación de tren. 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0FF40B" w14:textId="77777777" w:rsidR="00816D63" w:rsidRDefault="006E2A2A" w:rsidP="00816D6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794CF996" w:rsidR="006E2A2A" w:rsidRPr="00816D63" w:rsidRDefault="006E2A2A" w:rsidP="00816D6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816D6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2CFE413C" w:rsidR="00A66332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0F36C466" w14:textId="682B9F5D" w:rsidR="007A12CC" w:rsidRPr="007A12CC" w:rsidRDefault="007A12CC" w:rsidP="007A12CC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los pasajeros con salida desde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(KIX), el guía entregará los tickets de autobús el día anterior.</w:t>
      </w:r>
    </w:p>
    <w:p w14:paraId="4319260A" w14:textId="293404AC" w:rsidR="007A12CC" w:rsidRPr="007A12CC" w:rsidRDefault="007A12CC" w:rsidP="007A12CC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lang w:val="es-MX" w:eastAsia="es-MX"/>
        </w:rPr>
      </w:pPr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los pasajeros con salida desde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(ITM), los tickets se entregarán al realizar el </w:t>
      </w:r>
      <w:proofErr w:type="spellStart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7A12C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</w:t>
      </w:r>
      <w:r w:rsidRPr="007A12CC">
        <w:rPr>
          <w:lang w:val="es-MX" w:eastAsia="es-MX"/>
        </w:rPr>
        <w:t>.</w:t>
      </w:r>
    </w:p>
    <w:p w14:paraId="43C78340" w14:textId="06A8617E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8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19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</w:t>
      </w:r>
      <w:r w:rsidR="009E61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l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4 de enero 2027 - Año Nuevo y fechas cercanas)</w:t>
      </w:r>
    </w:p>
    <w:bookmarkEnd w:id="0"/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tbl>
      <w:tblPr>
        <w:tblW w:w="80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501"/>
        <w:gridCol w:w="4340"/>
        <w:gridCol w:w="432"/>
      </w:tblGrid>
      <w:tr w:rsidR="00760A83" w:rsidRPr="00760A83" w14:paraId="0FC966D3" w14:textId="77777777" w:rsidTr="00AA0EF8">
        <w:trPr>
          <w:trHeight w:val="1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87AB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shd w:val="clear" w:color="auto" w:fill="002060"/>
                <w:lang w:val="es-MX" w:eastAsia="es-MX"/>
              </w:rPr>
              <w:t>HOTELES</w:t>
            </w: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 PREVISTOS O SIMILARES </w:t>
            </w:r>
          </w:p>
        </w:tc>
      </w:tr>
      <w:tr w:rsidR="00253302" w:rsidRPr="00760A83" w14:paraId="10917B13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A6F0A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A9E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DB40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03C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60A83" w:rsidRPr="00760A83" w14:paraId="5F3E5E01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3216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D59F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TOKIO </w:t>
            </w: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7E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HOTEL NEW OTANI GARDEN TOWER (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estandar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27m²)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5536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60A83" w:rsidRPr="00760A83" w14:paraId="6E917405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92B4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EE1C4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 - Superior Twin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8106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TOKYO HOTEL (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superior (23.8 - 26.9 m²)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AA826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60A83" w:rsidRPr="00760A83" w14:paraId="0922863F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E930" w14:textId="77777777" w:rsidR="00760A83" w:rsidRPr="00760A83" w:rsidRDefault="00760A83" w:rsidP="00760A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ABC9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KIOTO - </w:t>
            </w:r>
            <w:proofErr w:type="spellStart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Premium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0D04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KYOTO TOKYU HOTEL (23.8 - 29 m²)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35B0" w14:textId="77777777" w:rsidR="00760A83" w:rsidRPr="00760A83" w:rsidRDefault="00760A83" w:rsidP="00760A8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63D1BFEB" w14:textId="77777777" w:rsidTr="00AA0EF8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4C22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A2764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6088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Sheraton Miyako (premium 24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1539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38DCF1F" w14:textId="5DA249F4" w:rsidR="00C26341" w:rsidRDefault="00C26341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82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009"/>
        <w:gridCol w:w="903"/>
        <w:gridCol w:w="903"/>
        <w:gridCol w:w="2331"/>
      </w:tblGrid>
      <w:tr w:rsidR="00760A83" w:rsidRPr="00760A83" w14:paraId="03A33ADA" w14:textId="77777777" w:rsidTr="00390F1C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936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760A83" w:rsidRPr="00760A83" w14:paraId="58C9F114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56B8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(OPERABLE DESDE 1 PAX) </w:t>
            </w:r>
          </w:p>
        </w:tc>
      </w:tr>
      <w:tr w:rsidR="00760A83" w:rsidRPr="00760A83" w14:paraId="683DE3D2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2757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CAT.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130F7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72A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B8BB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AFE62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 xml:space="preserve">MENOR 4-11 AÑOS </w:t>
            </w:r>
          </w:p>
        </w:tc>
      </w:tr>
      <w:tr w:rsidR="00760A83" w:rsidRPr="00760A83" w14:paraId="60D5F117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D09F" w14:textId="345E80E1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53BB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31D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459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4CA68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2575</w:t>
            </w:r>
          </w:p>
        </w:tc>
      </w:tr>
      <w:tr w:rsidR="00760A83" w:rsidRPr="00760A83" w14:paraId="64ABF1A5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EDC1F" w14:textId="31A9281A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F3FCB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F20D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CC17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78DE9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2670</w:t>
            </w:r>
          </w:p>
        </w:tc>
      </w:tr>
      <w:tr w:rsidR="00760A83" w:rsidRPr="00760A83" w14:paraId="2F31A37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22FA8" w14:textId="5E02BD00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B009E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39D43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1ACF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60A0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2860</w:t>
            </w:r>
          </w:p>
        </w:tc>
      </w:tr>
      <w:tr w:rsidR="00760A83" w:rsidRPr="00760A83" w14:paraId="37642963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978DB" w14:textId="73519FD8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34DC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ECAD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7872D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4845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75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3050</w:t>
            </w:r>
          </w:p>
        </w:tc>
      </w:tr>
      <w:tr w:rsidR="00760A83" w:rsidRPr="00760A83" w14:paraId="350D4E7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48E96" w14:textId="2EEB5E67" w:rsidR="00760A83" w:rsidRPr="00760A83" w:rsidRDefault="00760A83" w:rsidP="00760A83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TEMPORADA ESPECIAL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EDF3F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723B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112CC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5230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AD941" w14:textId="77777777" w:rsidR="00760A83" w:rsidRPr="00760A83" w:rsidRDefault="00760A83" w:rsidP="00760A83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3240</w:t>
            </w:r>
          </w:p>
        </w:tc>
      </w:tr>
      <w:tr w:rsidR="00760A83" w:rsidRPr="00760A83" w14:paraId="46F6E3B0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8A38B" w14:textId="1691740E" w:rsidR="00760A83" w:rsidRPr="00760A83" w:rsidRDefault="00760A83" w:rsidP="00760A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60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760A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760A8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760A83" w:rsidRPr="00760A83" w14:paraId="241C01CE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A8C3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3A18A1CB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01D1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60A83" w:rsidRPr="00760A83" w14:paraId="4E2ACA3F" w14:textId="77777777" w:rsidTr="00760A83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3ADAE" w14:textId="77777777" w:rsidR="00760A83" w:rsidRPr="00760A83" w:rsidRDefault="00760A83" w:rsidP="00760A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0043EFD" w14:textId="77777777" w:rsidR="00BA1C9F" w:rsidRDefault="00BA1C9F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87B3F" w14:textId="4BB6F95B" w:rsidR="0057630D" w:rsidRDefault="0057630D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3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936"/>
      </w:tblGrid>
      <w:tr w:rsidR="0056191A" w:rsidRPr="0056191A" w14:paraId="7888CC13" w14:textId="77777777" w:rsidTr="001F3320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C37E3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56191A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5619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2026 - 2027</w:t>
            </w:r>
          </w:p>
        </w:tc>
      </w:tr>
      <w:tr w:rsidR="0056191A" w:rsidRPr="0056191A" w14:paraId="57CC8E45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9FDD6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BBF74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09, 16, 23 y 30 </w:t>
            </w:r>
          </w:p>
        </w:tc>
      </w:tr>
      <w:tr w:rsidR="0056191A" w:rsidRPr="0056191A" w14:paraId="56C7914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AD1B2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B7154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56191A" w:rsidRPr="0056191A" w14:paraId="654E1C50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D7B54" w14:textId="46A6B5F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12F3E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19 y 26</w:t>
            </w:r>
          </w:p>
        </w:tc>
      </w:tr>
      <w:tr w:rsidR="0056191A" w:rsidRPr="0056191A" w14:paraId="42FEDF38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0A10B26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55B5D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14, 21 y 28</w:t>
            </w:r>
          </w:p>
        </w:tc>
      </w:tr>
      <w:tr w:rsidR="0056191A" w:rsidRPr="0056191A" w14:paraId="549551D7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6C643E1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F517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56191A" w:rsidRPr="0056191A" w14:paraId="66183A3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F7180D0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7B85A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01 y 08</w:t>
            </w:r>
          </w:p>
        </w:tc>
      </w:tr>
      <w:tr w:rsidR="0056191A" w:rsidRPr="0056191A" w14:paraId="026D0BE9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E7B44" w14:textId="049F97D5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BC262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 2026: 14 y 21* </w:t>
            </w:r>
          </w:p>
        </w:tc>
      </w:tr>
      <w:tr w:rsidR="0056191A" w:rsidRPr="0056191A" w14:paraId="23D112BA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C6EA91C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A6B3F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27</w:t>
            </w:r>
          </w:p>
        </w:tc>
      </w:tr>
      <w:tr w:rsidR="0056191A" w:rsidRPr="0056191A" w14:paraId="19A62DFC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C81DF2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1A57A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56191A" w:rsidRPr="0056191A" w14:paraId="68E6CBFD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73EEF45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DF1EC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02 y 09</w:t>
            </w:r>
          </w:p>
        </w:tc>
      </w:tr>
      <w:tr w:rsidR="0056191A" w:rsidRPr="0056191A" w14:paraId="5BEDEE8B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CA045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D5E78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56191A" w:rsidRPr="0056191A" w14:paraId="4778F9E4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1E5393D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1C4D5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56191A" w:rsidRPr="0056191A" w14:paraId="6514AB84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71789DB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04ADC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10 y 17 </w:t>
            </w:r>
          </w:p>
        </w:tc>
      </w:tr>
      <w:tr w:rsidR="0056191A" w:rsidRPr="0056191A" w14:paraId="5EF3A01A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504DFBC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82803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16</w:t>
            </w:r>
          </w:p>
        </w:tc>
      </w:tr>
      <w:tr w:rsidR="0056191A" w:rsidRPr="0056191A" w14:paraId="424B754C" w14:textId="77777777" w:rsidTr="0056191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1FB4F" w14:textId="77777777" w:rsidR="0056191A" w:rsidRPr="0056191A" w:rsidRDefault="0056191A" w:rsidP="0056191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2D4D3" w14:textId="77777777" w:rsidR="0056191A" w:rsidRPr="0056191A" w:rsidRDefault="0056191A" w:rsidP="0056191A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6191A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2027: 23 y 30</w:t>
            </w:r>
          </w:p>
        </w:tc>
      </w:tr>
    </w:tbl>
    <w:p w14:paraId="237A656C" w14:textId="77777777" w:rsidR="00390F1C" w:rsidRPr="00390F1C" w:rsidRDefault="00390F1C" w:rsidP="00390F1C">
      <w:pPr>
        <w:jc w:val="center"/>
        <w:rPr>
          <w:rFonts w:ascii="Calibri" w:hAnsi="Calibri" w:cs="Calibri"/>
          <w:sz w:val="20"/>
          <w:szCs w:val="20"/>
          <w:lang w:val="es-MX" w:eastAsia="es-MX"/>
        </w:rPr>
      </w:pPr>
      <w:r w:rsidRPr="00390F1C">
        <w:rPr>
          <w:rFonts w:ascii="Calibri" w:hAnsi="Calibri" w:cs="Calibri"/>
          <w:sz w:val="20"/>
          <w:szCs w:val="20"/>
          <w:lang w:val="es-MX" w:eastAsia="es-MX"/>
        </w:rPr>
        <w:t>*en esta fecha no se puede reservar noches post</w:t>
      </w:r>
    </w:p>
    <w:p w14:paraId="3DBC5BB3" w14:textId="7E16ABC1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5FC4669" w14:textId="4A2615E4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3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902"/>
      </w:tblGrid>
      <w:tr w:rsidR="00390F1C" w:rsidRPr="00390F1C" w14:paraId="479B837F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5A017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ACTIVIDADES OPCIONALES </w:t>
            </w:r>
          </w:p>
        </w:tc>
      </w:tr>
      <w:tr w:rsidR="00390F1C" w:rsidRPr="00390F1C" w14:paraId="78960E20" w14:textId="77777777" w:rsidTr="00253302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0839E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390F1C" w:rsidRPr="00390F1C" w14:paraId="7BEDFF10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D7A3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CEREMONIA DEL TÉ” EN ASAKUSA DIA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56559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390F1C" w:rsidRPr="00390F1C" w14:paraId="4181B617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F1334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HIROSHIMA y MIYAJIMA DIA 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09E9C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390F1C" w:rsidRPr="00390F1C" w14:paraId="58134B1C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336E18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Nota: No se ofrecerá la actividad opcional en destino. Los pasajeros necesitarán reservarlos 3 semanas antes de viajar. Sujeto a disponibilidad</w:t>
            </w:r>
          </w:p>
        </w:tc>
      </w:tr>
      <w:tr w:rsidR="00390F1C" w:rsidRPr="00390F1C" w14:paraId="54DBA91F" w14:textId="77777777" w:rsidTr="00390F1C">
        <w:trPr>
          <w:trHeight w:val="25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5A71" w14:textId="77777777" w:rsidR="00390F1C" w:rsidRPr="00390F1C" w:rsidRDefault="00390F1C" w:rsidP="00390F1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222AD50" w14:textId="01F645FD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3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4"/>
        <w:gridCol w:w="974"/>
      </w:tblGrid>
      <w:tr w:rsidR="00390F1C" w:rsidRPr="00390F1C" w14:paraId="7E37EC43" w14:textId="77777777" w:rsidTr="00390F1C">
        <w:trPr>
          <w:trHeight w:val="28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6B91A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UPGRADE DE HABITACIÓN EN KIOTO </w:t>
            </w:r>
          </w:p>
        </w:tc>
      </w:tr>
      <w:tr w:rsidR="00390F1C" w:rsidRPr="00390F1C" w14:paraId="5725FCF7" w14:textId="77777777" w:rsidTr="00253302">
        <w:trPr>
          <w:trHeight w:val="32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FD408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390F1C" w:rsidRPr="00390F1C" w14:paraId="21BB11CD" w14:textId="77777777" w:rsidTr="00390F1C">
        <w:trPr>
          <w:trHeight w:val="283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66333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UPGRADE EN HAB. HOTEL KYOTO TOKYO - PREMIUM ROOM (23.8 - 29 m²) HAB TWIN/TPL 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882B4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390F1C" w:rsidRPr="00390F1C" w14:paraId="15FAB220" w14:textId="77777777" w:rsidTr="00390F1C">
        <w:trPr>
          <w:trHeight w:val="297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6BA38" w14:textId="77777777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 EN HAB. HOTEL KYOTO TOKYO - PREMIUM ROOM (23.8 - 29 m²) HAB SGL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2BA88" w14:textId="77777777" w:rsidR="00390F1C" w:rsidRPr="00390F1C" w:rsidRDefault="00390F1C" w:rsidP="00390F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175</w:t>
            </w:r>
          </w:p>
        </w:tc>
      </w:tr>
      <w:tr w:rsidR="00390F1C" w:rsidRPr="00390F1C" w14:paraId="2EB679EC" w14:textId="77777777" w:rsidTr="00390F1C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02A60" w14:textId="1F13CC55" w:rsidR="00390F1C" w:rsidRPr="00390F1C" w:rsidRDefault="00390F1C" w:rsidP="00390F1C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hab. Doble Hotel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Kyoto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habitación Premium </w:t>
            </w:r>
            <w:proofErr w:type="spell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room</w:t>
            </w:r>
            <w:proofErr w:type="spell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23.8 - 29 m². </w:t>
            </w:r>
            <w:proofErr w:type="gramStart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390F1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para las 3 noches que incluye el tour</w:t>
            </w:r>
          </w:p>
        </w:tc>
      </w:tr>
    </w:tbl>
    <w:p w14:paraId="5FE7ACE3" w14:textId="03257786" w:rsidR="00390F1C" w:rsidRDefault="00390F1C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4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932"/>
      </w:tblGrid>
      <w:tr w:rsidR="00253302" w:rsidRPr="00253302" w14:paraId="46E0981A" w14:textId="77777777" w:rsidTr="00253302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842D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SUPLEMENTO DE SALIDA DE OSAKA - KANSAI (KIX) o </w:t>
            </w:r>
            <w:proofErr w:type="spellStart"/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(ITM) </w:t>
            </w:r>
          </w:p>
        </w:tc>
      </w:tr>
      <w:tr w:rsidR="00253302" w:rsidRPr="00253302" w14:paraId="492DD32D" w14:textId="77777777" w:rsidTr="00253302">
        <w:trPr>
          <w:trHeight w:val="27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7EA8C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253302" w:rsidRPr="00253302" w14:paraId="52548BB7" w14:textId="77777777" w:rsidTr="00253302">
        <w:trPr>
          <w:trHeight w:val="327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B48C6" w14:textId="50F6FCB1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las 8:30 am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ESA MISMA HORA (TWIN/TPL)</w:t>
            </w:r>
          </w:p>
        </w:tc>
        <w:tc>
          <w:tcPr>
            <w:tcW w:w="7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3D58F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253302" w:rsidRPr="00253302" w14:paraId="2C86C8E0" w14:textId="77777777" w:rsidTr="00253302">
        <w:trPr>
          <w:trHeight w:val="273"/>
          <w:tblCellSpacing w:w="0" w:type="dxa"/>
          <w:jc w:val="center"/>
        </w:trPr>
        <w:tc>
          <w:tcPr>
            <w:tcW w:w="6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0D13C" w14:textId="7F48B02C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de salida antes de las 8:30 am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ó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ESA MISMA HORA (SGL)</w:t>
            </w:r>
          </w:p>
        </w:tc>
        <w:tc>
          <w:tcPr>
            <w:tcW w:w="7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7B7E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253302" w:rsidRPr="00253302" w14:paraId="09FF2851" w14:textId="77777777" w:rsidTr="00253302">
        <w:trPr>
          <w:trHeight w:val="273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4F671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Este suplemento se aplicará si el vuelo desde el Aeropuerto de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Kansai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(KIX) o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>Itami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2"/>
                <w:lang w:val="es-MX" w:eastAsia="es-MX"/>
              </w:rPr>
              <w:t xml:space="preserve"> (ITM) tiene salida a las 8:30am o antes de esta hora, ya que se deberá reservar un taxi para el traslado</w:t>
            </w:r>
          </w:p>
        </w:tc>
      </w:tr>
      <w:tr w:rsidR="00253302" w:rsidRPr="00253302" w14:paraId="363645D0" w14:textId="77777777" w:rsidTr="00253302">
        <w:trPr>
          <w:trHeight w:val="35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680C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41442362" w14:textId="6E0E2C0F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5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1006"/>
        <w:gridCol w:w="736"/>
      </w:tblGrid>
      <w:tr w:rsidR="00253302" w:rsidRPr="00253302" w14:paraId="6AE99F32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C530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PREVIAS, PRECIO POR PERSONA POR NOCHE, incluye desayuno</w:t>
            </w:r>
          </w:p>
        </w:tc>
      </w:tr>
      <w:tr w:rsidR="00253302" w:rsidRPr="00253302" w14:paraId="0853CD6F" w14:textId="77777777" w:rsidTr="00253302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D3C6C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lastRenderedPageBreak/>
              <w:t>TODAS LAS TEMPORADAS</w:t>
            </w:r>
          </w:p>
        </w:tc>
      </w:tr>
      <w:tr w:rsidR="00253302" w:rsidRPr="00253302" w14:paraId="774A1892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CD8C5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TOKIO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Hotel New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/ Grand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Tokyo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Daiba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AEF2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8484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253302" w:rsidRPr="00253302" w14:paraId="12261DDE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8323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B75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29EE3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253302" w:rsidRPr="00253302" w14:paraId="0F7DE016" w14:textId="77777777" w:rsidTr="00253302">
        <w:trPr>
          <w:trHeight w:val="28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985A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59234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6C91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253302" w:rsidRPr="00253302" w14:paraId="0905C45F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A665C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Solo se pueden reservar hasta un máximo de 2 noches y están sujetas a disponibilidad, podrían no confirmarse incluso a un precio más alto.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Early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-in o late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check-out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consideran como una noche adicional.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 aplican para noches extra en las siguientes fechas festivas: 29 abr al 6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(Golden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), 8 al 16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ago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), 19 al 23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(Silver </w:t>
            </w:r>
            <w:proofErr w:type="spellStart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26 dic 2026 al 4 ene 2027 (Año Nuevo)</w:t>
            </w:r>
          </w:p>
        </w:tc>
      </w:tr>
      <w:tr w:rsidR="00253302" w:rsidRPr="00253302" w14:paraId="07516B58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282F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53302" w:rsidRPr="00253302" w14:paraId="7AFB22E5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FC165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53302" w:rsidRPr="00253302" w14:paraId="53AEB510" w14:textId="77777777" w:rsidTr="00253302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97EA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0BD23E7" w14:textId="67E22A05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1837"/>
        <w:gridCol w:w="1345"/>
      </w:tblGrid>
      <w:tr w:rsidR="00253302" w:rsidRPr="00253302" w14:paraId="2766D048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A85A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 POST POR PERSONA POR NOCHE, incluye desayuno</w:t>
            </w:r>
          </w:p>
        </w:tc>
      </w:tr>
      <w:tr w:rsidR="00253302" w:rsidRPr="00253302" w14:paraId="7A78A3FF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12802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TODAS LAS TEMPORADAS</w:t>
            </w:r>
          </w:p>
        </w:tc>
      </w:tr>
      <w:tr w:rsidR="00253302" w:rsidRPr="00253302" w14:paraId="2567007B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8749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OSAKA</w:t>
            </w: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Sheraton Miyako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D573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79FB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355</w:t>
            </w:r>
          </w:p>
        </w:tc>
      </w:tr>
      <w:tr w:rsidR="00253302" w:rsidRPr="00253302" w14:paraId="1352830D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2FB8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5992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1825A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253302" w:rsidRPr="00253302" w14:paraId="236BFF21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40B8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B91E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7B1C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253302" w:rsidRPr="00253302" w14:paraId="5CEB39B1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754C2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Solo se pueden reservar hasta un máximo de 2 noches y están sujetas a disponibilidad, podrían no confirmarse incluso a un precio más alto </w:t>
            </w:r>
          </w:p>
        </w:tc>
      </w:tr>
      <w:tr w:rsidR="00253302" w:rsidRPr="00253302" w14:paraId="77870AA4" w14:textId="77777777" w:rsidTr="00253302">
        <w:trPr>
          <w:trHeight w:val="25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2361" w14:textId="77777777" w:rsidR="00253302" w:rsidRPr="00253302" w:rsidRDefault="00253302" w:rsidP="0025330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A72ED7C" w14:textId="7898F76E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F59301F" w14:textId="7675A6B1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17250E" wp14:editId="1A88CE5D">
            <wp:simplePos x="0" y="0"/>
            <wp:positionH relativeFrom="page">
              <wp:align>center</wp:align>
            </wp:positionH>
            <wp:positionV relativeFrom="paragraph">
              <wp:posOffset>107315</wp:posOffset>
            </wp:positionV>
            <wp:extent cx="1352550" cy="463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8DD00" w14:textId="0D617538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EDA97FE" w14:textId="6CE4B8F9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4A8AE8E" w14:textId="663D5BD8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77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8"/>
        <w:gridCol w:w="757"/>
      </w:tblGrid>
      <w:tr w:rsidR="00253302" w:rsidRPr="00253302" w14:paraId="65870801" w14:textId="77777777" w:rsidTr="00253302">
        <w:trPr>
          <w:trHeight w:val="26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E4EEF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253302" w:rsidRPr="00253302" w14:paraId="11A9C2CB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AFEC2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C1DA3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253302" w:rsidRPr="00253302" w14:paraId="34CFC7FC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2B1A6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6073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253302" w:rsidRPr="00253302" w14:paraId="0460DE47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7E3D1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B9786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53302" w:rsidRPr="00253302" w14:paraId="6FB2DB5D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C012B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58B04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253302" w:rsidRPr="00253302" w14:paraId="1AA658F7" w14:textId="77777777" w:rsidTr="00253302">
        <w:trPr>
          <w:trHeight w:val="301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6607E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0A42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253302" w:rsidRPr="00253302" w14:paraId="502F6D17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FCBAD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A4C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253302" w:rsidRPr="00253302" w14:paraId="001605EE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8DC6E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D2FF8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253302" w:rsidRPr="00253302" w14:paraId="46D855E1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E1DDA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C1C59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485</w:t>
            </w:r>
          </w:p>
        </w:tc>
      </w:tr>
      <w:tr w:rsidR="00253302" w:rsidRPr="00253302" w14:paraId="33A31781" w14:textId="77777777" w:rsidTr="00253302">
        <w:trPr>
          <w:trHeight w:val="262"/>
          <w:tblCellSpacing w:w="0" w:type="dxa"/>
          <w:jc w:val="center"/>
        </w:trPr>
        <w:tc>
          <w:tcPr>
            <w:tcW w:w="6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36084" w14:textId="77777777" w:rsidR="00253302" w:rsidRPr="00253302" w:rsidRDefault="00253302" w:rsidP="0025330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25330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7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AA89B" w14:textId="77777777" w:rsidR="00253302" w:rsidRPr="00253302" w:rsidRDefault="00253302" w:rsidP="0025330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5330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5AF95AA3" w14:textId="77777777" w:rsidR="00253302" w:rsidRDefault="00253302" w:rsidP="00C263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253302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11A11" w14:textId="77777777" w:rsidR="00572456" w:rsidRDefault="00572456" w:rsidP="000D4B74">
      <w:r>
        <w:separator/>
      </w:r>
    </w:p>
  </w:endnote>
  <w:endnote w:type="continuationSeparator" w:id="0">
    <w:p w14:paraId="0066A0BF" w14:textId="77777777" w:rsidR="00572456" w:rsidRDefault="0057245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F6204" w14:textId="77777777" w:rsidR="00572456" w:rsidRDefault="00572456" w:rsidP="000D4B74">
      <w:r>
        <w:separator/>
      </w:r>
    </w:p>
  </w:footnote>
  <w:footnote w:type="continuationSeparator" w:id="0">
    <w:p w14:paraId="2B8B03FC" w14:textId="77777777" w:rsidR="00572456" w:rsidRDefault="0057245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69FD2A33" w:rsidR="0038774D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8217208" wp14:editId="09C97BCD">
          <wp:simplePos x="0" y="0"/>
          <wp:positionH relativeFrom="column">
            <wp:posOffset>3971925</wp:posOffset>
          </wp:positionH>
          <wp:positionV relativeFrom="paragraph">
            <wp:posOffset>293370</wp:posOffset>
          </wp:positionV>
          <wp:extent cx="933450" cy="622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E7D6C67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A TU ALCANCE</w:t>
                          </w:r>
                          <w:r w:rsidR="0066461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II</w:t>
                          </w:r>
                        </w:p>
                        <w:p w14:paraId="041A546C" w14:textId="4AADEC54" w:rsidR="0038774D" w:rsidRPr="00983E4D" w:rsidRDefault="0066461A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3278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A220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E7D6C67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A TU ALCANCE</w:t>
                    </w:r>
                    <w:r w:rsidR="0066461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II</w:t>
                    </w:r>
                  </w:p>
                  <w:p w14:paraId="041A546C" w14:textId="4AADEC54" w:rsidR="0038774D" w:rsidRPr="00983E4D" w:rsidRDefault="0066461A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3278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A220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1.25pt;height:11.25pt" o:bullet="t">
        <v:imagedata r:id="rId1" o:title="mso88"/>
      </v:shape>
    </w:pict>
  </w:numPicBullet>
  <w:numPicBullet w:numPicBulletId="1">
    <w:pict>
      <v:shape id="_x0000_i133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2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5"/>
  </w:num>
  <w:num w:numId="13">
    <w:abstractNumId w:val="22"/>
  </w:num>
  <w:num w:numId="14">
    <w:abstractNumId w:val="22"/>
  </w:num>
  <w:num w:numId="15">
    <w:abstractNumId w:val="37"/>
  </w:num>
  <w:num w:numId="16">
    <w:abstractNumId w:val="16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5"/>
  </w:num>
  <w:num w:numId="22">
    <w:abstractNumId w:val="7"/>
  </w:num>
  <w:num w:numId="23">
    <w:abstractNumId w:val="38"/>
  </w:num>
  <w:num w:numId="24">
    <w:abstractNumId w:val="20"/>
  </w:num>
  <w:num w:numId="25">
    <w:abstractNumId w:val="27"/>
  </w:num>
  <w:num w:numId="26">
    <w:abstractNumId w:val="40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1"/>
  </w:num>
  <w:num w:numId="34">
    <w:abstractNumId w:val="39"/>
  </w:num>
  <w:num w:numId="35">
    <w:abstractNumId w:val="6"/>
  </w:num>
  <w:num w:numId="36">
    <w:abstractNumId w:val="13"/>
  </w:num>
  <w:num w:numId="37">
    <w:abstractNumId w:val="28"/>
  </w:num>
  <w:num w:numId="38">
    <w:abstractNumId w:val="34"/>
  </w:num>
  <w:num w:numId="39">
    <w:abstractNumId w:val="18"/>
  </w:num>
  <w:num w:numId="40">
    <w:abstractNumId w:val="19"/>
  </w:num>
  <w:num w:numId="41">
    <w:abstractNumId w:val="8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0F5A6E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1503"/>
    <w:rsid w:val="001526CD"/>
    <w:rsid w:val="00152D96"/>
    <w:rsid w:val="001561B8"/>
    <w:rsid w:val="00161F83"/>
    <w:rsid w:val="00163AB2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320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3538B"/>
    <w:rsid w:val="00243515"/>
    <w:rsid w:val="002450D3"/>
    <w:rsid w:val="00251504"/>
    <w:rsid w:val="00253302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9E5"/>
    <w:rsid w:val="002B1275"/>
    <w:rsid w:val="002C072F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109F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0F1C"/>
    <w:rsid w:val="00391009"/>
    <w:rsid w:val="00394807"/>
    <w:rsid w:val="00396D1F"/>
    <w:rsid w:val="003A267D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0694"/>
    <w:rsid w:val="003E1BF0"/>
    <w:rsid w:val="003E6F0A"/>
    <w:rsid w:val="003F1F47"/>
    <w:rsid w:val="003F6E31"/>
    <w:rsid w:val="0040099E"/>
    <w:rsid w:val="004032AF"/>
    <w:rsid w:val="00405050"/>
    <w:rsid w:val="00406609"/>
    <w:rsid w:val="00411AA4"/>
    <w:rsid w:val="00425F2C"/>
    <w:rsid w:val="004262D6"/>
    <w:rsid w:val="00431235"/>
    <w:rsid w:val="00431C8A"/>
    <w:rsid w:val="00433015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79E0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191A"/>
    <w:rsid w:val="0056407E"/>
    <w:rsid w:val="00567CCE"/>
    <w:rsid w:val="00572456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60307E"/>
    <w:rsid w:val="0060391A"/>
    <w:rsid w:val="00632F34"/>
    <w:rsid w:val="00633FFB"/>
    <w:rsid w:val="00642161"/>
    <w:rsid w:val="00642EF2"/>
    <w:rsid w:val="006502E7"/>
    <w:rsid w:val="0065049B"/>
    <w:rsid w:val="0065253E"/>
    <w:rsid w:val="00653DC0"/>
    <w:rsid w:val="00664597"/>
    <w:rsid w:val="0066461A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4F6E"/>
    <w:rsid w:val="006A77B8"/>
    <w:rsid w:val="006B7E55"/>
    <w:rsid w:val="006C45B0"/>
    <w:rsid w:val="006C61E4"/>
    <w:rsid w:val="006C645F"/>
    <w:rsid w:val="006D1265"/>
    <w:rsid w:val="006D3261"/>
    <w:rsid w:val="006E2A2A"/>
    <w:rsid w:val="006E3D15"/>
    <w:rsid w:val="006E45A2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476C"/>
    <w:rsid w:val="007448E8"/>
    <w:rsid w:val="00746082"/>
    <w:rsid w:val="00751B67"/>
    <w:rsid w:val="007574A3"/>
    <w:rsid w:val="00760A83"/>
    <w:rsid w:val="00761306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A12CC"/>
    <w:rsid w:val="007A62F4"/>
    <w:rsid w:val="007B4384"/>
    <w:rsid w:val="007C4C7D"/>
    <w:rsid w:val="007D254B"/>
    <w:rsid w:val="007D43AF"/>
    <w:rsid w:val="007D4E05"/>
    <w:rsid w:val="007D725F"/>
    <w:rsid w:val="007E4ED2"/>
    <w:rsid w:val="007F05A3"/>
    <w:rsid w:val="007F267C"/>
    <w:rsid w:val="007F3047"/>
    <w:rsid w:val="007F57C0"/>
    <w:rsid w:val="00801181"/>
    <w:rsid w:val="0080725A"/>
    <w:rsid w:val="0081537B"/>
    <w:rsid w:val="00816D63"/>
    <w:rsid w:val="008239AA"/>
    <w:rsid w:val="00824914"/>
    <w:rsid w:val="00833023"/>
    <w:rsid w:val="00833CC4"/>
    <w:rsid w:val="0083663A"/>
    <w:rsid w:val="008459CB"/>
    <w:rsid w:val="00851DB8"/>
    <w:rsid w:val="00851FF4"/>
    <w:rsid w:val="00855733"/>
    <w:rsid w:val="008625CC"/>
    <w:rsid w:val="00873ACF"/>
    <w:rsid w:val="00880F79"/>
    <w:rsid w:val="00883ADC"/>
    <w:rsid w:val="00890F9E"/>
    <w:rsid w:val="00894A9C"/>
    <w:rsid w:val="008A2CD8"/>
    <w:rsid w:val="008A58C1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372A"/>
    <w:rsid w:val="009C59AE"/>
    <w:rsid w:val="009C6818"/>
    <w:rsid w:val="009C6C07"/>
    <w:rsid w:val="009D07AE"/>
    <w:rsid w:val="009D3B0F"/>
    <w:rsid w:val="009E3B59"/>
    <w:rsid w:val="009E6144"/>
    <w:rsid w:val="009F0994"/>
    <w:rsid w:val="009F1EF1"/>
    <w:rsid w:val="009F5717"/>
    <w:rsid w:val="009F5AAB"/>
    <w:rsid w:val="009F5E3C"/>
    <w:rsid w:val="00A007A7"/>
    <w:rsid w:val="00A05259"/>
    <w:rsid w:val="00A06033"/>
    <w:rsid w:val="00A0645B"/>
    <w:rsid w:val="00A06CEA"/>
    <w:rsid w:val="00A07BD2"/>
    <w:rsid w:val="00A07E79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73F88"/>
    <w:rsid w:val="00A8037B"/>
    <w:rsid w:val="00A80B5F"/>
    <w:rsid w:val="00A82A5D"/>
    <w:rsid w:val="00A91A94"/>
    <w:rsid w:val="00AA0EF8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6276"/>
    <w:rsid w:val="00B466CF"/>
    <w:rsid w:val="00B51F8F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1C9F"/>
    <w:rsid w:val="00BA73EC"/>
    <w:rsid w:val="00BB3F82"/>
    <w:rsid w:val="00BC1834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0F0F"/>
    <w:rsid w:val="00D21BE8"/>
    <w:rsid w:val="00D21D57"/>
    <w:rsid w:val="00D2489F"/>
    <w:rsid w:val="00D26E72"/>
    <w:rsid w:val="00D27D9B"/>
    <w:rsid w:val="00D30FF5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438"/>
    <w:rsid w:val="00DD4B05"/>
    <w:rsid w:val="00DD6A22"/>
    <w:rsid w:val="00DE04BE"/>
    <w:rsid w:val="00DE3267"/>
    <w:rsid w:val="00DE420B"/>
    <w:rsid w:val="00DE546D"/>
    <w:rsid w:val="00DE6D7E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0819"/>
    <w:rsid w:val="00F86B72"/>
    <w:rsid w:val="00F87482"/>
    <w:rsid w:val="00F876C3"/>
    <w:rsid w:val="00F91C2D"/>
    <w:rsid w:val="00FA115A"/>
    <w:rsid w:val="00FA274A"/>
    <w:rsid w:val="00FA565B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4EC2-CF4C-4515-B5A3-AA5172FB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2427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57</cp:revision>
  <dcterms:created xsi:type="dcterms:W3CDTF">2025-10-10T00:59:00Z</dcterms:created>
  <dcterms:modified xsi:type="dcterms:W3CDTF">2025-10-21T00:28:00Z</dcterms:modified>
</cp:coreProperties>
</file>