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315" w:rsidRDefault="00E50186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proofErr w:type="spellStart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>Dubai</w:t>
      </w:r>
      <w:proofErr w:type="spellEnd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Sir Bani </w:t>
      </w:r>
      <w:proofErr w:type="spellStart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>Yas</w:t>
      </w:r>
      <w:proofErr w:type="spellEnd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Abu </w:t>
      </w:r>
      <w:proofErr w:type="spellStart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>Dhabi</w:t>
      </w:r>
      <w:proofErr w:type="spellEnd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>, Bahréin, Doha.</w:t>
      </w:r>
    </w:p>
    <w:p w:rsidR="007131C0" w:rsidRDefault="007131C0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E50186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Llegadas: </w:t>
      </w:r>
      <w:r w:rsidR="00581F2B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sábado</w:t>
      </w:r>
      <w:r w:rsidR="00E50186" w:rsidRPr="00E5018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, </w:t>
      </w:r>
      <w:r w:rsidR="00581F2B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06</w:t>
      </w:r>
      <w:r w:rsidR="00E50186" w:rsidRPr="00E5018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de diciembre</w:t>
      </w:r>
      <w:r w:rsidR="00581F2B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2025 al 07</w:t>
      </w:r>
      <w:r w:rsidR="00E50186" w:rsidRPr="00E5018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de </w:t>
      </w:r>
      <w:r w:rsidR="00581F2B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marzo</w:t>
      </w:r>
      <w:r w:rsidR="00E50186" w:rsidRPr="00E5018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2026</w:t>
      </w:r>
    </w:p>
    <w:p w:rsidR="00606315" w:rsidRDefault="00E50186" w:rsidP="007131C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</w:t>
      </w:r>
      <w:r w:rsidR="007131C0" w:rsidRP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ervicios compartidos</w:t>
      </w:r>
    </w:p>
    <w:p w:rsidR="007131C0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131C0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E50186">
        <w:rPr>
          <w:rFonts w:eastAsia="Arial"/>
          <w:sz w:val="24"/>
          <w:szCs w:val="24"/>
        </w:rPr>
        <w:t>(</w:t>
      </w:r>
      <w:r w:rsidR="00581F2B">
        <w:rPr>
          <w:rFonts w:eastAsia="Arial"/>
          <w:sz w:val="24"/>
          <w:szCs w:val="24"/>
        </w:rPr>
        <w:t>sábado</w:t>
      </w:r>
      <w:r w:rsidR="00E50186">
        <w:rPr>
          <w:rFonts w:eastAsia="Arial"/>
          <w:sz w:val="24"/>
          <w:szCs w:val="24"/>
        </w:rPr>
        <w:t xml:space="preserve">) </w:t>
      </w:r>
      <w:proofErr w:type="spellStart"/>
      <w:r w:rsidR="00E50186">
        <w:rPr>
          <w:rFonts w:eastAsia="Arial"/>
          <w:sz w:val="24"/>
          <w:szCs w:val="24"/>
        </w:rPr>
        <w:t>Dubai</w:t>
      </w:r>
      <w:proofErr w:type="spellEnd"/>
    </w:p>
    <w:p w:rsidR="00E50186" w:rsidRDefault="00E50186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E50186">
        <w:rPr>
          <w:b w:val="0"/>
          <w:smallCaps w:val="0"/>
          <w:color w:val="002060"/>
          <w:sz w:val="20"/>
          <w:szCs w:val="22"/>
        </w:rPr>
        <w:t>Llegada al aeropuerto, asistencia y traslado al hotel. Alojamiento.</w:t>
      </w:r>
    </w:p>
    <w:p w:rsidR="00E50186" w:rsidRPr="00E50186" w:rsidRDefault="00E50186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E50186">
        <w:rPr>
          <w:rFonts w:eastAsia="Arial"/>
          <w:sz w:val="24"/>
          <w:szCs w:val="24"/>
        </w:rPr>
        <w:t>(</w:t>
      </w:r>
      <w:r w:rsidR="00581F2B">
        <w:rPr>
          <w:rFonts w:eastAsia="Arial"/>
          <w:sz w:val="24"/>
          <w:szCs w:val="24"/>
        </w:rPr>
        <w:t>domingo</w:t>
      </w:r>
      <w:r w:rsidR="00E50186">
        <w:rPr>
          <w:rFonts w:eastAsia="Arial"/>
          <w:sz w:val="24"/>
          <w:szCs w:val="24"/>
        </w:rPr>
        <w:t xml:space="preserve">) </w:t>
      </w:r>
      <w:proofErr w:type="spellStart"/>
      <w:r w:rsidR="00E50186">
        <w:rPr>
          <w:rFonts w:eastAsia="Arial"/>
          <w:sz w:val="24"/>
          <w:szCs w:val="24"/>
        </w:rPr>
        <w:t>Dubai</w:t>
      </w:r>
      <w:proofErr w:type="spellEnd"/>
    </w:p>
    <w:p w:rsidR="007131C0" w:rsidRPr="00E50186" w:rsidRDefault="00E50186" w:rsidP="00E50186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D</w:t>
      </w:r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esayuno y salida desde el hotel hacia la zona antigua, donde se visitará el barrio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Bastakia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, el casco histórico de la ciudad. Luego se pasará por el mercado de las especies y el mercado del oro, atravesando el canal con las famosas “Abras”. Luego nos trasladaremos al barrio Jumeirah. parada para fotos de la Mezquita de Jumeirah y en el Burj Al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Arab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. Vuelta al hotel por la avenida principal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Sheik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Zaed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 Road donde veremos el Burj Khalifa, el edificio más alto del mundo. Por la tarde, los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Land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Cruisers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 los recogerán para un excitante trayecto por las fantásticas dunas del desierto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Emirati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. Disfrutaran la puesta del sol árabe y después nos dirigiremos a nuestro campamento donde disfrutaran de una autentica e inolvidable noche beduina. Mientras disfrutan la cena, una bailarina, le mostrara el antiguo arte de la Danza del Vientre y muchos espectáculos más. También podrán hacer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Sandboard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>, paseo en camello y tatuajes de Henna, Regreso al hotel.</w:t>
      </w:r>
    </w:p>
    <w:p w:rsidR="007131C0" w:rsidRDefault="00A109A1" w:rsidP="007131C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lunes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Embarque – Crucero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Celestyal</w:t>
      </w:r>
      <w:proofErr w:type="spellEnd"/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Journey</w:t>
      </w:r>
      <w:proofErr w:type="spellEnd"/>
    </w:p>
    <w:p w:rsidR="00E50186" w:rsidRPr="00E50186" w:rsidRDefault="00E50186" w:rsidP="00E50186">
      <w:pPr>
        <w:rPr>
          <w:rFonts w:eastAsia="Arial"/>
        </w:rPr>
      </w:pPr>
      <w:r>
        <w:rPr>
          <w:rFonts w:asciiTheme="minorHAnsi" w:eastAsia="Arial" w:hAnsiTheme="minorHAnsi" w:cstheme="minorHAnsi"/>
          <w:color w:val="002060"/>
          <w:sz w:val="20"/>
        </w:rPr>
        <w:t>S</w:t>
      </w:r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alida hacia el Puerto de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 y embarque al crucero. Cena y alojamiento a bordo, el barco pernocta en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>.</w:t>
      </w: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martes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Dubai</w:t>
      </w:r>
      <w:proofErr w:type="spellEnd"/>
    </w:p>
    <w:p w:rsidR="007131C0" w:rsidRDefault="00E50186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>
        <w:rPr>
          <w:rFonts w:asciiTheme="minorHAnsi" w:eastAsia="Arial" w:hAnsiTheme="minorHAnsi" w:cstheme="minorHAnsi"/>
          <w:bCs/>
          <w:color w:val="002060"/>
          <w:sz w:val="20"/>
        </w:rPr>
        <w:t>S</w:t>
      </w:r>
      <w:r w:rsidRPr="00E50186">
        <w:rPr>
          <w:rFonts w:asciiTheme="minorHAnsi" w:eastAsia="Arial" w:hAnsiTheme="minorHAnsi" w:cstheme="minorHAnsi"/>
          <w:bCs/>
          <w:color w:val="002060"/>
          <w:sz w:val="20"/>
        </w:rPr>
        <w:t xml:space="preserve">alida hacia la isla de Sir Bani </w:t>
      </w:r>
      <w:proofErr w:type="spellStart"/>
      <w:r w:rsidRPr="00E50186">
        <w:rPr>
          <w:rFonts w:asciiTheme="minorHAnsi" w:eastAsia="Arial" w:hAnsiTheme="minorHAnsi" w:cstheme="minorHAnsi"/>
          <w:bCs/>
          <w:color w:val="002060"/>
          <w:sz w:val="20"/>
        </w:rPr>
        <w:t>Yas</w:t>
      </w:r>
      <w:proofErr w:type="spellEnd"/>
      <w:r w:rsidRPr="00E50186">
        <w:rPr>
          <w:rFonts w:asciiTheme="minorHAnsi" w:eastAsia="Arial" w:hAnsiTheme="minorHAnsi" w:cstheme="minorHAnsi"/>
          <w:bCs/>
          <w:color w:val="002060"/>
          <w:sz w:val="20"/>
        </w:rPr>
        <w:t>. Cena y alojamiento a bordo.</w:t>
      </w:r>
    </w:p>
    <w:p w:rsidR="00E50186" w:rsidRPr="00F70745" w:rsidRDefault="00E50186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proofErr w:type="spellStart"/>
      <w:r w:rsidR="00581F2B">
        <w:rPr>
          <w:rStyle w:val="DestinosCar"/>
          <w:rFonts w:cs="Times New Roman"/>
          <w:b/>
          <w:smallCaps w:val="0"/>
          <w:sz w:val="24"/>
          <w:szCs w:val="24"/>
        </w:rPr>
        <w:t>miercoles</w:t>
      </w:r>
      <w:proofErr w:type="spellEnd"/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Sir Bani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Yas</w:t>
      </w:r>
      <w:proofErr w:type="spellEnd"/>
    </w:p>
    <w:p w:rsidR="00E50186" w:rsidRDefault="00E50186" w:rsidP="0020594A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E50186">
        <w:rPr>
          <w:rFonts w:eastAsia="Arial" w:cstheme="minorHAnsi"/>
          <w:b w:val="0"/>
          <w:sz w:val="20"/>
          <w:szCs w:val="20"/>
        </w:rPr>
        <w:t xml:space="preserve">Llegada a Sir Bani </w:t>
      </w:r>
      <w:proofErr w:type="spellStart"/>
      <w:r w:rsidRPr="00E50186">
        <w:rPr>
          <w:rFonts w:eastAsia="Arial" w:cstheme="minorHAnsi"/>
          <w:b w:val="0"/>
          <w:sz w:val="20"/>
          <w:szCs w:val="20"/>
        </w:rPr>
        <w:t>Yas</w:t>
      </w:r>
      <w:proofErr w:type="spellEnd"/>
      <w:r w:rsidRPr="00E50186">
        <w:rPr>
          <w:rFonts w:eastAsia="Arial" w:cstheme="minorHAnsi"/>
          <w:b w:val="0"/>
          <w:sz w:val="20"/>
          <w:szCs w:val="20"/>
        </w:rPr>
        <w:t xml:space="preserve"> y desembarque. Embarque a la hora indicada para salir hacia Abu </w:t>
      </w:r>
      <w:proofErr w:type="spellStart"/>
      <w:r w:rsidRPr="00E50186">
        <w:rPr>
          <w:rFonts w:eastAsia="Arial" w:cstheme="minorHAnsi"/>
          <w:b w:val="0"/>
          <w:sz w:val="20"/>
          <w:szCs w:val="20"/>
        </w:rPr>
        <w:t>Dhabi</w:t>
      </w:r>
      <w:proofErr w:type="spellEnd"/>
      <w:r w:rsidRPr="00E50186">
        <w:rPr>
          <w:rFonts w:eastAsia="Arial" w:cstheme="minorHAnsi"/>
          <w:b w:val="0"/>
          <w:sz w:val="20"/>
          <w:szCs w:val="20"/>
        </w:rPr>
        <w:t>. Cena y alojamiento a bordo</w:t>
      </w:r>
      <w:r>
        <w:rPr>
          <w:rFonts w:eastAsia="Arial" w:cstheme="minorHAnsi"/>
          <w:b w:val="0"/>
          <w:sz w:val="20"/>
          <w:szCs w:val="20"/>
        </w:rPr>
        <w:t>.</w:t>
      </w:r>
    </w:p>
    <w:p w:rsidR="00E50186" w:rsidRDefault="00E50186" w:rsidP="0020594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jueves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Abu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Dhabi</w:t>
      </w:r>
      <w:proofErr w:type="spellEnd"/>
    </w:p>
    <w:p w:rsidR="007131C0" w:rsidRDefault="006821B1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21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Abu </w:t>
      </w:r>
      <w:proofErr w:type="spellStart"/>
      <w:r w:rsidRPr="006821B1">
        <w:rPr>
          <w:rFonts w:asciiTheme="minorHAnsi" w:eastAsia="Arial" w:hAnsiTheme="minorHAnsi" w:cstheme="minorHAnsi"/>
          <w:color w:val="002060"/>
          <w:sz w:val="20"/>
          <w:szCs w:val="20"/>
        </w:rPr>
        <w:t>Dhabi</w:t>
      </w:r>
      <w:proofErr w:type="spellEnd"/>
      <w:r w:rsidRPr="006821B1">
        <w:rPr>
          <w:rFonts w:asciiTheme="minorHAnsi" w:eastAsia="Arial" w:hAnsiTheme="minorHAnsi" w:cstheme="minorHAnsi"/>
          <w:color w:val="002060"/>
          <w:sz w:val="20"/>
          <w:szCs w:val="20"/>
        </w:rPr>
        <w:t>. Embarque a la hora informada por el barco para salir hacia Bahréin.</w:t>
      </w:r>
    </w:p>
    <w:p w:rsidR="006821B1" w:rsidRDefault="006821B1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viernes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) Bahréin</w:t>
      </w:r>
    </w:p>
    <w:p w:rsidR="007131C0" w:rsidRDefault="00E50186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Desembarque en Bahréin. Embarque a la hora informada por el barco para salir hacia Doha (Qatar).</w:t>
      </w:r>
    </w:p>
    <w:p w:rsidR="00E50186" w:rsidRDefault="00E50186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sábado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Doha </w:t>
      </w:r>
      <w:proofErr w:type="gram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-  Qatar</w:t>
      </w:r>
      <w:proofErr w:type="gramEnd"/>
    </w:p>
    <w:p w:rsidR="007131C0" w:rsidRDefault="00E50186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Doha. Embarque a la hora informada por el barco para salir hacia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E50186" w:rsidRDefault="00E50186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9</w:t>
      </w:r>
      <w:r w:rsidRPr="00BD0EA5">
        <w:rPr>
          <w:rFonts w:eastAsia="Arial"/>
          <w:sz w:val="24"/>
          <w:szCs w:val="24"/>
        </w:rPr>
        <w:t xml:space="preserve">|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domingo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) Navegación</w:t>
      </w:r>
    </w:p>
    <w:p w:rsidR="00540477" w:rsidRDefault="00E50186" w:rsidP="00E50186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Journey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ofrece un diseño elegante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y moderno</w:t>
      </w: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, brindando un ambiente cómodo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opciones gastronómicas y una variedad de lugares de entretenimiento, el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Journey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garantiza que los huéspedes tengan todo lo que necesitan para un viaje relajante y placentero.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El barco cuenta con una variedad de restaurantes y comedores que ofrecen una variedad de cocinas para todos los paladares.</w:t>
      </w: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10</w:t>
      </w:r>
      <w:r w:rsidRPr="00BD0EA5">
        <w:rPr>
          <w:rFonts w:eastAsia="Arial"/>
          <w:sz w:val="24"/>
          <w:szCs w:val="24"/>
        </w:rPr>
        <w:t xml:space="preserve">|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lunes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Dubai</w:t>
      </w:r>
      <w:proofErr w:type="spellEnd"/>
    </w:p>
    <w:p w:rsidR="00E50186" w:rsidRDefault="00E50186" w:rsidP="0054047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puerto de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desembarque y traslado al aeropuerto de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E50186" w:rsidRPr="00540477" w:rsidRDefault="00E50186" w:rsidP="0054047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E50186" w:rsidRP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2 noches en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alojamiento y desayuno </w:t>
      </w:r>
    </w:p>
    <w:p w:rsidR="00E50186" w:rsidRP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privados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</w:p>
    <w:p w:rsidR="00E50186" w:rsidRP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/Hotel /Puerto /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Asistencia de habla hispana para todas las categorías</w:t>
      </w:r>
    </w:p>
    <w:p w:rsidR="00E50186" w:rsidRP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de medio día en regular en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guía de habla hispana.</w:t>
      </w:r>
    </w:p>
    <w:p w:rsidR="00E50186" w:rsidRP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Safari en el desierto en regular con cena y transporte en inglés.</w:t>
      </w:r>
    </w:p>
    <w:p w:rsid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Crucero de 7 noches Arabia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Iconica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Cruises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tarifa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. Pensión Completa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540477" w:rsidRPr="00E50186" w:rsidRDefault="00540477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Tarjeta Básica de asistencia al viajero </w:t>
      </w:r>
    </w:p>
    <w:p w:rsidR="00FF05E3" w:rsidRPr="00BA37C5" w:rsidRDefault="00FF05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avión México – </w:t>
      </w:r>
      <w:proofErr w:type="spellStart"/>
      <w:r w:rsid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– México </w:t>
      </w:r>
    </w:p>
    <w:p w:rsidR="00E50186" w:rsidRDefault="00E50186" w:rsidP="00E50186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portuarias &amp; Propinas: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$</w:t>
      </w: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109por persona</w:t>
      </w:r>
    </w:p>
    <w:p w:rsidR="00D500FD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Propinas para Chofer y guía en </w:t>
      </w:r>
      <w:r w:rsidR="00E50186">
        <w:rPr>
          <w:rFonts w:asciiTheme="minorHAnsi" w:eastAsia="Arial" w:hAnsiTheme="minorHAnsi" w:cstheme="minorHAnsi"/>
          <w:color w:val="002060"/>
          <w:sz w:val="20"/>
          <w:szCs w:val="20"/>
        </w:rPr>
        <w:t>destino</w:t>
      </w: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 </w:t>
      </w:r>
    </w:p>
    <w:p w:rsidR="00243B49" w:rsidRDefault="00243B49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3B49">
        <w:rPr>
          <w:rFonts w:asciiTheme="minorHAnsi" w:eastAsia="Arial" w:hAnsiTheme="minorHAnsi" w:cstheme="minorHAnsi"/>
          <w:color w:val="002060"/>
          <w:sz w:val="20"/>
          <w:szCs w:val="20"/>
        </w:rPr>
        <w:t>Se requiere VISA para ingresar a Bahréin. info@npra.gov.bh</w:t>
      </w:r>
    </w:p>
    <w:p w:rsidR="00540477" w:rsidRDefault="00540477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43B49" w:rsidRPr="00243B49" w:rsidRDefault="00243B49" w:rsidP="00243B49">
      <w:pPr>
        <w:pStyle w:val="Ttulo4"/>
        <w:jc w:val="center"/>
        <w:rPr>
          <w:lang w:bidi="ar-SA"/>
        </w:rPr>
      </w:pPr>
      <w:r>
        <w:rPr>
          <w:color w:val="FF0000"/>
        </w:rPr>
        <w:t>Se requiere VISA para ingresar a Bahréin. info@npra.gov.bh</w:t>
      </w:r>
    </w:p>
    <w:p w:rsidR="00243B49" w:rsidRPr="00540477" w:rsidRDefault="00243B49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6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964"/>
        <w:gridCol w:w="3289"/>
        <w:gridCol w:w="558"/>
      </w:tblGrid>
      <w:tr w:rsidR="00E50186" w:rsidRPr="00E50186" w:rsidTr="00E50186">
        <w:trPr>
          <w:trHeight w:val="320"/>
          <w:jc w:val="center"/>
        </w:trPr>
        <w:tc>
          <w:tcPr>
            <w:tcW w:w="6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E50186" w:rsidRPr="00E50186" w:rsidTr="00E50186">
        <w:trPr>
          <w:trHeight w:val="310"/>
          <w:jc w:val="center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NOCHES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E50186" w:rsidRPr="00E50186" w:rsidTr="00E50186">
        <w:trPr>
          <w:trHeight w:val="290"/>
          <w:jc w:val="center"/>
        </w:trPr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DUBAI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ARABIAN PARK BY ROTANA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T</w:t>
            </w:r>
          </w:p>
        </w:tc>
      </w:tr>
      <w:tr w:rsidR="00E50186" w:rsidRPr="00E50186" w:rsidTr="00E50186">
        <w:trPr>
          <w:trHeight w:val="300"/>
          <w:jc w:val="center"/>
        </w:trPr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AL KHOORY ATRIUM AL BARSH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P</w:t>
            </w:r>
          </w:p>
        </w:tc>
      </w:tr>
      <w:tr w:rsidR="00E50186" w:rsidRPr="00E50186" w:rsidTr="00E50186">
        <w:trPr>
          <w:trHeight w:val="300"/>
          <w:jc w:val="center"/>
        </w:trPr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MEDIA ROTANA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S</w:t>
            </w:r>
          </w:p>
        </w:tc>
      </w:tr>
      <w:tr w:rsidR="00E50186" w:rsidRPr="00E50186" w:rsidTr="00E50186">
        <w:trPr>
          <w:trHeight w:val="300"/>
          <w:jc w:val="center"/>
        </w:trPr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7</w:t>
            </w: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CRUCERO CELESTYAL- (</w:t>
            </w:r>
            <w:proofErr w:type="spellStart"/>
            <w:r w:rsidRPr="00E50186">
              <w:rPr>
                <w:rFonts w:ascii="Calibri" w:hAnsi="Calibri" w:cs="Calibri"/>
                <w:color w:val="000000"/>
                <w:lang w:bidi="ar-SA"/>
              </w:rPr>
              <w:t>Journey</w:t>
            </w:r>
            <w:proofErr w:type="spellEnd"/>
            <w:r w:rsidRPr="00E50186">
              <w:rPr>
                <w:rFonts w:ascii="Calibri" w:hAnsi="Calibri" w:cs="Calibri"/>
                <w:color w:val="000000"/>
                <w:lang w:bidi="ar-SA"/>
              </w:rPr>
              <w:t>)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(CAMAROTE - IA)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T</w:t>
            </w:r>
          </w:p>
        </w:tc>
      </w:tr>
      <w:tr w:rsidR="00E50186" w:rsidRPr="00E50186" w:rsidTr="00E50186">
        <w:trPr>
          <w:trHeight w:val="300"/>
          <w:jc w:val="center"/>
        </w:trPr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(CAMAROTE - XA)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P</w:t>
            </w:r>
          </w:p>
        </w:tc>
      </w:tr>
      <w:tr w:rsidR="00E50186" w:rsidRPr="00E50186" w:rsidTr="00E50186">
        <w:trPr>
          <w:trHeight w:val="300"/>
          <w:jc w:val="center"/>
        </w:trPr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(CAMAROTE - XB)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S</w:t>
            </w:r>
          </w:p>
        </w:tc>
      </w:tr>
    </w:tbl>
    <w:p w:rsidR="00243B49" w:rsidRDefault="00243B49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</w:tblGrid>
      <w:tr w:rsidR="004E2B51" w:rsidRPr="004E2B51" w:rsidTr="004E2B51">
        <w:trPr>
          <w:trHeight w:val="495"/>
          <w:jc w:val="center"/>
        </w:trPr>
        <w:tc>
          <w:tcPr>
            <w:tcW w:w="7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4E2B51" w:rsidRPr="004E2B51" w:rsidRDefault="004E2B51" w:rsidP="004E2B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  <w:r w:rsidRPr="004E2B5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TARIFA PROMOCIONAL PARA RESERVAS HECHAS HASTA EL 28 DE NOVIEMBRE 2025</w:t>
            </w:r>
          </w:p>
        </w:tc>
      </w:tr>
      <w:tr w:rsidR="004E2B51" w:rsidRPr="004E2B51" w:rsidTr="004E2B51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51" w:rsidRPr="004E2B51" w:rsidRDefault="004E2B51" w:rsidP="004E2B51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4E2B51" w:rsidRPr="004E2B51" w:rsidTr="004E2B51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51" w:rsidRPr="004E2B51" w:rsidRDefault="004E2B51" w:rsidP="004E2B51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4E2B51" w:rsidRPr="004E2B51" w:rsidTr="004E2B51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51" w:rsidRPr="004E2B51" w:rsidRDefault="004E2B51" w:rsidP="004E2B51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</w:tbl>
    <w:p w:rsidR="00243B49" w:rsidRDefault="00243B49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E50186" w:rsidRDefault="00E50186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4"/>
        <w:gridCol w:w="996"/>
        <w:gridCol w:w="991"/>
        <w:gridCol w:w="1379"/>
      </w:tblGrid>
      <w:tr w:rsidR="00162C3E" w:rsidRPr="00162C3E" w:rsidTr="00162C3E">
        <w:trPr>
          <w:trHeight w:val="320"/>
          <w:jc w:val="center"/>
        </w:trPr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FF0000"/>
            <w:noWrap/>
            <w:vAlign w:val="bottom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TARIFA EN USD, POR PERSONA</w:t>
            </w:r>
          </w:p>
        </w:tc>
      </w:tr>
      <w:tr w:rsidR="00162C3E" w:rsidRPr="00162C3E" w:rsidTr="00162C3E">
        <w:trPr>
          <w:trHeight w:val="310"/>
          <w:jc w:val="center"/>
        </w:trPr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SERVICIOS TERRESTRES EXCLUSIVAMENTE (MINIMO 2 PASAJEROS) </w:t>
            </w:r>
          </w:p>
        </w:tc>
      </w:tr>
      <w:tr w:rsidR="00162C3E" w:rsidRPr="00162C3E" w:rsidTr="00162C3E">
        <w:trPr>
          <w:trHeight w:val="29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C65911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TURISTA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162C3E" w:rsidRPr="00162C3E" w:rsidTr="00162C3E">
        <w:trPr>
          <w:trHeight w:val="30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06 </w:t>
            </w:r>
            <w:proofErr w:type="gramStart"/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Diciembre</w:t>
            </w:r>
            <w:proofErr w:type="gramEnd"/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2025 al 07 Marzo 2026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1400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1315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2245</w:t>
            </w:r>
          </w:p>
        </w:tc>
      </w:tr>
      <w:tr w:rsidR="00162C3E" w:rsidRPr="00162C3E" w:rsidTr="00162C3E">
        <w:trPr>
          <w:trHeight w:val="300"/>
          <w:jc w:val="center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7B7B7B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PRIMERA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162C3E" w:rsidRPr="00162C3E" w:rsidTr="00162C3E">
        <w:trPr>
          <w:trHeight w:val="30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06 </w:t>
            </w:r>
            <w:proofErr w:type="gramStart"/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Diciembre</w:t>
            </w:r>
            <w:proofErr w:type="gramEnd"/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2025 al 07 Marzo 2026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1755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1565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2875</w:t>
            </w:r>
          </w:p>
        </w:tc>
      </w:tr>
      <w:tr w:rsidR="00162C3E" w:rsidRPr="00162C3E" w:rsidTr="00162C3E">
        <w:trPr>
          <w:trHeight w:val="30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B4C6E7" w:fill="FFC000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SUPERIOR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162C3E" w:rsidRPr="00162C3E" w:rsidTr="00162C3E">
        <w:trPr>
          <w:trHeight w:val="300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06 </w:t>
            </w:r>
            <w:proofErr w:type="gramStart"/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Diciembre</w:t>
            </w:r>
            <w:proofErr w:type="gramEnd"/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2025 al 07 Marzo 2026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1890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1670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2C3E" w:rsidRPr="00162C3E" w:rsidRDefault="00162C3E" w:rsidP="00162C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62C3E">
              <w:rPr>
                <w:rFonts w:ascii="Calibri" w:hAnsi="Calibri" w:cs="Calibri"/>
                <w:b/>
                <w:bCs/>
                <w:color w:val="000000"/>
                <w:lang w:bidi="ar-SA"/>
              </w:rPr>
              <w:t>3125</w:t>
            </w:r>
          </w:p>
        </w:tc>
      </w:tr>
    </w:tbl>
    <w:p w:rsidR="00E50186" w:rsidRDefault="00E50186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</w:tblGrid>
      <w:tr w:rsidR="00E50186" w:rsidRPr="00E50186" w:rsidTr="00E50186">
        <w:trPr>
          <w:trHeight w:val="471"/>
          <w:jc w:val="center"/>
        </w:trPr>
        <w:tc>
          <w:tcPr>
            <w:tcW w:w="7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C6E0B4"/>
            <w:vAlign w:val="center"/>
            <w:hideMark/>
          </w:tcPr>
          <w:p w:rsidR="00581F2B" w:rsidRDefault="00581F2B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NO APLICA SALIDA: 27 DE DICIEMBRE</w:t>
            </w:r>
          </w:p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000000"/>
                <w:lang w:bidi="ar-SA"/>
              </w:rPr>
              <w:t>NO INLCUYE:</w:t>
            </w:r>
            <w:r w:rsidRPr="00E50186">
              <w:rPr>
                <w:rFonts w:ascii="Calibri" w:hAnsi="Calibri" w:cs="Calibri"/>
                <w:b/>
                <w:bCs/>
                <w:color w:val="000000"/>
                <w:lang w:bidi="ar-SA"/>
              </w:rPr>
              <w:br/>
              <w:t>• Tasas portuarias &amp; Propinas: $109 por persona</w:t>
            </w:r>
          </w:p>
        </w:tc>
      </w:tr>
      <w:tr w:rsidR="00E50186" w:rsidRPr="00E50186" w:rsidTr="00E50186">
        <w:trPr>
          <w:trHeight w:val="471"/>
          <w:jc w:val="center"/>
        </w:trPr>
        <w:tc>
          <w:tcPr>
            <w:tcW w:w="7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540477" w:rsidRDefault="00540477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CC6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CB6" w:rsidRDefault="008D4CB6">
      <w:pPr>
        <w:spacing w:after="0" w:line="240" w:lineRule="auto"/>
      </w:pPr>
      <w:r>
        <w:separator/>
      </w:r>
    </w:p>
  </w:endnote>
  <w:endnote w:type="continuationSeparator" w:id="0">
    <w:p w:rsidR="008D4CB6" w:rsidRDefault="008D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CB6" w:rsidRDefault="008D4CB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8D4CB6" w:rsidRDefault="008D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FD1A58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CRUCERO ICONICO DESDE DUBAI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="007131C0" w:rsidRPr="007131C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Clave: 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3252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FD1A58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CRUCERO ICONICO DESDE DUBAI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="007131C0" w:rsidRPr="007131C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Clave: 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3252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"/>
  </w:num>
  <w:num w:numId="10">
    <w:abstractNumId w:val="8"/>
  </w:num>
  <w:num w:numId="11">
    <w:abstractNumId w:val="14"/>
  </w:num>
  <w:num w:numId="12">
    <w:abstractNumId w:val="18"/>
  </w:num>
  <w:num w:numId="13">
    <w:abstractNumId w:val="3"/>
  </w:num>
  <w:num w:numId="14">
    <w:abstractNumId w:val="19"/>
  </w:num>
  <w:num w:numId="15">
    <w:abstractNumId w:val="4"/>
  </w:num>
  <w:num w:numId="16">
    <w:abstractNumId w:val="0"/>
  </w:num>
  <w:num w:numId="17">
    <w:abstractNumId w:val="15"/>
  </w:num>
  <w:num w:numId="18">
    <w:abstractNumId w:val="11"/>
  </w:num>
  <w:num w:numId="19">
    <w:abstractNumId w:val="12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8440F"/>
    <w:rsid w:val="000B5411"/>
    <w:rsid w:val="00121872"/>
    <w:rsid w:val="00121D3F"/>
    <w:rsid w:val="001308DE"/>
    <w:rsid w:val="00136610"/>
    <w:rsid w:val="00162C3E"/>
    <w:rsid w:val="001760D9"/>
    <w:rsid w:val="00186469"/>
    <w:rsid w:val="001934F5"/>
    <w:rsid w:val="00197448"/>
    <w:rsid w:val="001B4CFE"/>
    <w:rsid w:val="0020594A"/>
    <w:rsid w:val="00206A52"/>
    <w:rsid w:val="0022469A"/>
    <w:rsid w:val="00243B49"/>
    <w:rsid w:val="00253EC6"/>
    <w:rsid w:val="00260703"/>
    <w:rsid w:val="00260A7E"/>
    <w:rsid w:val="0026300E"/>
    <w:rsid w:val="002716DA"/>
    <w:rsid w:val="0028467B"/>
    <w:rsid w:val="002A0AC4"/>
    <w:rsid w:val="002A3E36"/>
    <w:rsid w:val="002B20BB"/>
    <w:rsid w:val="002C47F1"/>
    <w:rsid w:val="002E2148"/>
    <w:rsid w:val="0030077C"/>
    <w:rsid w:val="00325B25"/>
    <w:rsid w:val="003472AF"/>
    <w:rsid w:val="003549A2"/>
    <w:rsid w:val="00372355"/>
    <w:rsid w:val="00385F60"/>
    <w:rsid w:val="003B524E"/>
    <w:rsid w:val="004002E5"/>
    <w:rsid w:val="00406B6E"/>
    <w:rsid w:val="00430DCE"/>
    <w:rsid w:val="004354F5"/>
    <w:rsid w:val="00445E5F"/>
    <w:rsid w:val="004778FB"/>
    <w:rsid w:val="00483D0E"/>
    <w:rsid w:val="00493763"/>
    <w:rsid w:val="004A3839"/>
    <w:rsid w:val="004A4DC7"/>
    <w:rsid w:val="004A5406"/>
    <w:rsid w:val="004B58B8"/>
    <w:rsid w:val="004B77E9"/>
    <w:rsid w:val="004E2B51"/>
    <w:rsid w:val="004F3ADB"/>
    <w:rsid w:val="0050425F"/>
    <w:rsid w:val="00540477"/>
    <w:rsid w:val="005507FE"/>
    <w:rsid w:val="005679E5"/>
    <w:rsid w:val="00581F2B"/>
    <w:rsid w:val="005960CB"/>
    <w:rsid w:val="005A1149"/>
    <w:rsid w:val="005D2183"/>
    <w:rsid w:val="00600CC3"/>
    <w:rsid w:val="00606315"/>
    <w:rsid w:val="006210F5"/>
    <w:rsid w:val="006368D0"/>
    <w:rsid w:val="00655CC5"/>
    <w:rsid w:val="00661413"/>
    <w:rsid w:val="006821B1"/>
    <w:rsid w:val="006835E6"/>
    <w:rsid w:val="0068514F"/>
    <w:rsid w:val="00687ED9"/>
    <w:rsid w:val="00692BA8"/>
    <w:rsid w:val="006C1CB0"/>
    <w:rsid w:val="006C2396"/>
    <w:rsid w:val="006D29F5"/>
    <w:rsid w:val="006D72E8"/>
    <w:rsid w:val="006F6BD9"/>
    <w:rsid w:val="007043A3"/>
    <w:rsid w:val="00706A43"/>
    <w:rsid w:val="007131C0"/>
    <w:rsid w:val="007138F1"/>
    <w:rsid w:val="00724E17"/>
    <w:rsid w:val="00743093"/>
    <w:rsid w:val="00792693"/>
    <w:rsid w:val="00794B66"/>
    <w:rsid w:val="007973C7"/>
    <w:rsid w:val="007A3CDE"/>
    <w:rsid w:val="007E01BB"/>
    <w:rsid w:val="007F7B70"/>
    <w:rsid w:val="00825C6E"/>
    <w:rsid w:val="0084509F"/>
    <w:rsid w:val="00853D64"/>
    <w:rsid w:val="0086609E"/>
    <w:rsid w:val="00871328"/>
    <w:rsid w:val="0088560B"/>
    <w:rsid w:val="008C17A6"/>
    <w:rsid w:val="008C56AB"/>
    <w:rsid w:val="008D4CB6"/>
    <w:rsid w:val="008E0017"/>
    <w:rsid w:val="008E42A1"/>
    <w:rsid w:val="008E5CC0"/>
    <w:rsid w:val="008F157E"/>
    <w:rsid w:val="008F4840"/>
    <w:rsid w:val="0090199B"/>
    <w:rsid w:val="009119BC"/>
    <w:rsid w:val="00921C60"/>
    <w:rsid w:val="00945F42"/>
    <w:rsid w:val="00970405"/>
    <w:rsid w:val="009767C9"/>
    <w:rsid w:val="00985F89"/>
    <w:rsid w:val="00986E85"/>
    <w:rsid w:val="009A3D03"/>
    <w:rsid w:val="009A7A88"/>
    <w:rsid w:val="009B29A1"/>
    <w:rsid w:val="009C0740"/>
    <w:rsid w:val="009D7C74"/>
    <w:rsid w:val="009F5EDD"/>
    <w:rsid w:val="00A0012D"/>
    <w:rsid w:val="00A05B51"/>
    <w:rsid w:val="00A109A1"/>
    <w:rsid w:val="00A1676A"/>
    <w:rsid w:val="00A322C8"/>
    <w:rsid w:val="00A32A11"/>
    <w:rsid w:val="00A455A6"/>
    <w:rsid w:val="00A526AD"/>
    <w:rsid w:val="00A7248E"/>
    <w:rsid w:val="00A979AE"/>
    <w:rsid w:val="00AA2A48"/>
    <w:rsid w:val="00AA302B"/>
    <w:rsid w:val="00AB0E37"/>
    <w:rsid w:val="00B1028F"/>
    <w:rsid w:val="00B11AFA"/>
    <w:rsid w:val="00B13D81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8584E"/>
    <w:rsid w:val="00C90CC1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C5669"/>
    <w:rsid w:val="00DD2475"/>
    <w:rsid w:val="00E01424"/>
    <w:rsid w:val="00E236E2"/>
    <w:rsid w:val="00E446EB"/>
    <w:rsid w:val="00E50186"/>
    <w:rsid w:val="00E701F2"/>
    <w:rsid w:val="00E72F35"/>
    <w:rsid w:val="00E856F2"/>
    <w:rsid w:val="00EA6A5B"/>
    <w:rsid w:val="00EB2671"/>
    <w:rsid w:val="00EE2794"/>
    <w:rsid w:val="00EE5A2D"/>
    <w:rsid w:val="00F01C44"/>
    <w:rsid w:val="00F14FD9"/>
    <w:rsid w:val="00F257E1"/>
    <w:rsid w:val="00F30B92"/>
    <w:rsid w:val="00F341D4"/>
    <w:rsid w:val="00F36847"/>
    <w:rsid w:val="00F70745"/>
    <w:rsid w:val="00F85C88"/>
    <w:rsid w:val="00FA61D6"/>
    <w:rsid w:val="00FA6C98"/>
    <w:rsid w:val="00FC449A"/>
    <w:rsid w:val="00FD1A58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1D3F9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2025-10-07T00:30:00Z</dcterms:created>
  <dcterms:modified xsi:type="dcterms:W3CDTF">2025-10-07T00:30:00Z</dcterms:modified>
</cp:coreProperties>
</file>