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0674" w14:textId="1952EA1E" w:rsidR="004B105F" w:rsidRDefault="0040211A" w:rsidP="00FA2444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DUBÁI - EL CAIRO – ASUÁN – KOM OMBO – EDFU – ESNA - LUXOR – EL CAIRO</w:t>
      </w:r>
    </w:p>
    <w:p w14:paraId="5407253B" w14:textId="77777777" w:rsidR="00FA2444" w:rsidRPr="00FA2444" w:rsidRDefault="00FA2444" w:rsidP="00FA2444">
      <w:pPr>
        <w:rPr>
          <w:rFonts w:eastAsia="Arial"/>
          <w:lang w:val="fr-CA" w:eastAsia="fr-FR"/>
        </w:rPr>
      </w:pPr>
    </w:p>
    <w:p w14:paraId="6F5D0190" w14:textId="14A286C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FA2444" w:rsidRPr="00FA244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07A564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viernes, sábado y domingo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06 enero 2026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octubre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FA5831" w14:textId="5F6EDF75" w:rsidR="00C5500E" w:rsidRDefault="00C5500E" w:rsidP="00C5500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3B7F639F" w14:textId="5EC0A44F" w:rsidR="00C5500E" w:rsidRPr="00C5500E" w:rsidRDefault="00C5500E" w:rsidP="00C5500E">
      <w:pPr>
        <w:pStyle w:val="Destinos"/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</w:pPr>
      <w:r w:rsidRPr="00C5500E"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  <w:t>Llegada al aeropuerto de Dubái. Traslado al hotel, tiempo libre para relajarte o conocer la ciudad por cuenta propia.</w:t>
      </w:r>
      <w:r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  <w:t xml:space="preserve"> </w:t>
      </w:r>
      <w:r w:rsidRPr="00C5500E">
        <w:rPr>
          <w:rFonts w:eastAsiaTheme="minorHAnsi"/>
          <w:smallCaps w:val="0"/>
          <w:color w:val="002060"/>
          <w:sz w:val="20"/>
          <w:szCs w:val="20"/>
          <w:lang w:bidi="ar-SA"/>
        </w:rPr>
        <w:t>Alojamiento</w:t>
      </w:r>
      <w:r>
        <w:rPr>
          <w:rFonts w:eastAsiaTheme="minorHAnsi"/>
          <w:smallCaps w:val="0"/>
          <w:color w:val="002060"/>
          <w:sz w:val="20"/>
          <w:szCs w:val="20"/>
          <w:lang w:bidi="ar-SA"/>
        </w:rPr>
        <w:t>.</w:t>
      </w:r>
    </w:p>
    <w:p w14:paraId="7EDBD516" w14:textId="77777777" w:rsidR="00C5500E" w:rsidRDefault="00C5500E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BE10F7F" w14:textId="6B76A933" w:rsidR="00C5500E" w:rsidRDefault="00C5500E" w:rsidP="00C5500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7B829D1C" w14:textId="77777777" w:rsidR="00C5500E" w:rsidRPr="00160444" w:rsidRDefault="00C5500E" w:rsidP="00C5500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Desayuno.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Excursión incluida de medio día por el Dubái clásico, explorando la zona histórica de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Bastakia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con sus antiguas casas de comerciantes, galerías y cafés. Visita panorámica del Museo de Dubái (cerrado actualmente), seguida de un paseo en </w:t>
      </w:r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>abra</w:t>
      </w:r>
      <w:r w:rsidRPr="00160444">
        <w:rPr>
          <w:rFonts w:asciiTheme="minorHAnsi" w:eastAsiaTheme="minorHAnsi" w:hAnsiTheme="minorHAnsi" w:cstheme="minorHAnsi"/>
          <w:i/>
          <w:iCs/>
          <w:color w:val="002060"/>
          <w:sz w:val="20"/>
          <w:szCs w:val="20"/>
          <w:lang w:bidi="ar-SA"/>
        </w:rPr>
        <w:t xml:space="preserve"> 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(taxi fluvial tradicional) para cruzar la ensenada. Recorrido por el Zoco de las Especias y el famoso Zoco del Oro. Regreso al hotel. </w:t>
      </w:r>
      <w:r w:rsidRPr="001604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5CD22292" w14:textId="038057C4" w:rsidR="00C5500E" w:rsidRPr="00160444" w:rsidRDefault="00C5500E" w:rsidP="00C5500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tarde (excursión incluida al contratar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Pack), entre las 15:00hrs y 15:30hrs, salida desde el hotel para realizar un emocionante safari por el desierto en vehículos 4x4 compartidos. Viajaremos entre dunas doradas, pasando por granjas de camellos y paisajes impresionantes, con paradas para tomar fotografías y disfrutar de la puesta de sol en el desierto árabe. Llegada a un campamento tradicional donde se podrá practicar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sandboarding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montar en camello, fumar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shisha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tatuarse con henna o simplemente relajarse. Cena tipo buffet con especialidades árabes a la parrilla, ensaladas y frutas frescas. Durante la cena, espectáculo folclórico con danza del vientre, regreso al hotel y alojamiento. También existe la opción de pasar la noche en el desierto en habitación climatizada (se </w:t>
      </w:r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 xml:space="preserve">requiere contratar </w:t>
      </w:r>
      <w:proofErr w:type="spellStart"/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>Travel</w:t>
      </w:r>
      <w:proofErr w:type="spellEnd"/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 xml:space="preserve"> Shop Pack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).</w:t>
      </w:r>
    </w:p>
    <w:p w14:paraId="04852E5C" w14:textId="77777777" w:rsidR="00C5500E" w:rsidRPr="009B1E1C" w:rsidRDefault="00C5500E" w:rsidP="00C5500E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espectáculo no disponible durante el Ramadán</w:t>
      </w:r>
    </w:p>
    <w:p w14:paraId="2E5C7ABE" w14:textId="77777777" w:rsidR="00C5500E" w:rsidRDefault="00C5500E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511C80D" w14:textId="49455D7F" w:rsidR="009B1E1C" w:rsidRDefault="009B1E1C" w:rsidP="009B1E1C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249CAF32" w14:textId="77777777" w:rsidR="009B1E1C" w:rsidRDefault="009B1E1C" w:rsidP="009B1E1C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B1E1C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Mañana libre para disfrutar de compras en Dubái, reconocida como una de las capitales mundiales del shopping. Por la tarde excursión opcional al Dubái moderno (contratando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Pack), donde explorarás la ciudad del futuro, conocida por sus impresionantes desarrollos urbanísticos. Visita al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Souk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Madinat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Jumeirah, con vistas al icónico hotel Burj Al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Arab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; recorrido por la isla artificial Palm Jumeirah y el famoso hotel Atlantis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The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Palm, con regreso en monorraíl para admirar la palmera desde lo alto. Seguiremos hacia la Marina de Dubái y final en la zona del Burj Khalifa, la torre más alta del mundo. Opción de quedarse en el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Mall o regresar al hotel. </w:t>
      </w:r>
      <w:r w:rsidRPr="009B1E1C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49E5D3AE" w14:textId="59BFF622" w:rsidR="00C5500E" w:rsidRPr="00474BAA" w:rsidRDefault="009B1E1C" w:rsidP="009B1E1C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Nota: si se decide quedarse en </w:t>
      </w:r>
      <w:proofErr w:type="spellStart"/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Mall el regreso será por cuenta propia</w:t>
      </w:r>
    </w:p>
    <w:p w14:paraId="34525151" w14:textId="55065788" w:rsidR="00474BAA" w:rsidRDefault="00474BAA" w:rsidP="009B1E1C">
      <w:pPr>
        <w:pStyle w:val="Sinespaciado"/>
        <w:jc w:val="both"/>
        <w:rPr>
          <w:rStyle w:val="DanmeroCar"/>
          <w:b w:val="0"/>
          <w:bCs/>
          <w:sz w:val="22"/>
          <w:szCs w:val="24"/>
        </w:rPr>
      </w:pPr>
    </w:p>
    <w:p w14:paraId="404AC799" w14:textId="6627528C" w:rsidR="00474BAA" w:rsidRDefault="00474BAA" w:rsidP="00474BA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04B1AB30" w14:textId="77777777" w:rsidR="001415C7" w:rsidRDefault="00474BAA" w:rsidP="001415C7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474BA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Mañana libre para realizar compras o participar en excursiones opcionales contratando </w:t>
      </w:r>
      <w:proofErr w:type="spellStart"/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</w:t>
      </w:r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como la entrada a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Frame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vuelo en globo sobre Dubái, excursión a Abu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Dhabi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con almuerzo, acceso a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Parks, entre otras. </w:t>
      </w:r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Por la noche, también puedes contratar una cena a bordo de un crucero tradicional por la zona de la Marina</w:t>
      </w:r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disfrutando de las vistas nocturnas de los modernos rascacielos iluminados. </w:t>
      </w:r>
      <w:r w:rsidRPr="00474BA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.</w:t>
      </w:r>
    </w:p>
    <w:p w14:paraId="6EF79A4D" w14:textId="77777777" w:rsidR="001415C7" w:rsidRDefault="001415C7" w:rsidP="001415C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3DABADBE" w14:textId="06EA1070" w:rsidR="00794B66" w:rsidRPr="00BD0EA5" w:rsidRDefault="00A109A1" w:rsidP="001415C7">
      <w:pPr>
        <w:pStyle w:val="Sinespaciado"/>
        <w:jc w:val="both"/>
        <w:rPr>
          <w:rStyle w:val="DestinosCar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5</w:t>
      </w:r>
      <w:r w:rsidR="00794B66" w:rsidRPr="00BD0EA5">
        <w:rPr>
          <w:rStyle w:val="DanmeroCar"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1415C7">
        <w:rPr>
          <w:rFonts w:asciiTheme="minorHAnsi" w:eastAsia="Arial" w:hAnsiTheme="minorHAnsi"/>
          <w:b/>
          <w:color w:val="FF0000"/>
          <w:sz w:val="24"/>
          <w:szCs w:val="24"/>
        </w:rPr>
        <w:t>DUBÁI - E</w:t>
      </w:r>
      <w:r w:rsidR="003F08F1" w:rsidRPr="001415C7">
        <w:rPr>
          <w:rFonts w:asciiTheme="minorHAnsi" w:eastAsia="Arial" w:hAnsiTheme="minorHAnsi"/>
          <w:b/>
          <w:color w:val="FF0000"/>
          <w:sz w:val="24"/>
          <w:szCs w:val="24"/>
        </w:rPr>
        <w:t>L CAIRO</w:t>
      </w:r>
      <w:r w:rsidR="001415C7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1415C7" w:rsidRPr="001415C7">
        <w:rPr>
          <w:rFonts w:asciiTheme="minorHAnsi" w:eastAsia="Arial" w:hAnsiTheme="minorHAnsi"/>
          <w:color w:val="002060"/>
          <w:sz w:val="24"/>
          <w:szCs w:val="24"/>
        </w:rPr>
        <w:t>(vuelo interno)</w:t>
      </w:r>
    </w:p>
    <w:p w14:paraId="607441A4" w14:textId="2E876840" w:rsidR="000D3DCE" w:rsidRDefault="00D9251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D9251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51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 la hora prevista, traslado al aeropuerto de Dubái para volar rumbo a Egipto (no incluido). </w:t>
      </w:r>
      <w:r w:rsidR="000D3DCE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 w:rsid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="000D3DCE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="000D3DCE"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lastRenderedPageBreak/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7EC53013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6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6CFFE743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salida hacia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Guiza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descubrir el majestuoso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Complejo Funerario de las Pirámides de Keops, Kefrén y </w:t>
      </w:r>
      <w:proofErr w:type="spellStart"/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así como la enigmática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(Entradas al interior de las pirámides no incluidas). Regreso a El Cairo y 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388A7447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144D3B4A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8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actividad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se dará un 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rojo, donde se encuentra el famoso Obelisco Inacabado, y a la Gran Presa de Asuán, obra monumental diseñada para controlar las crecidas del Nilo. 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76F8788E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ESNA – LUXOR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5C5CF999" w14:textId="1821FC78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visita del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 Horus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mejores conservados de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Navegaremos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Esna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realizar el cruce de la esclusa, proceso que los barcos realizan por turnos.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Continua</w:t>
      </w:r>
      <w:r w:rsid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Luxor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77ECE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Almuerzo, cena y alojamiento a bordo.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3DDB23D6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10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4B9E9160" w14:textId="1CA350BD" w:rsidR="00377ECE" w:rsidRP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posibilidad de realizar visita opcional a la Necrópolis de Tebas: Valle de los Reyes, donde reposan los faraones de las dinastías XVII a XX. Templo de la Reina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el-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Colosos de Memnón. También puede visitarse el Templo Funerario de Ramsés III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),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consutra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Posteriormente, visita incluida al Templo de Luxor, dedicado a Amón-Ra, Mut y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y al imponente Complejo de Karnak. A la hora indicada, traslado al aeropuerto para tomar el vuelo de regreso a El Cairo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(incluido)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recepción y traslado al hotel. </w:t>
      </w: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A23E2BF" w14:textId="1DF3B4A7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07F2201" w14:textId="0602E11D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11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29663154" w14:textId="722394D2" w:rsidR="007C65BA" w:rsidRPr="00C05FA1" w:rsidRDefault="00F31B42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  <w:r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Día libre para actividades personales o excursiones opcionales (</w:t>
      </w:r>
      <w:proofErr w:type="spellStart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C05FA1"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10529F6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12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</w:p>
    <w:p w14:paraId="7036C491" w14:textId="5E58CB52" w:rsidR="00304797" w:rsidRDefault="00304797" w:rsidP="0030479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8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  <w:r w:rsidRPr="0030479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5D0F63A" w14:textId="666FF5D4" w:rsidR="00304797" w:rsidRDefault="00304797" w:rsidP="0030479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3 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crucero en régimen de pensión completa </w:t>
      </w:r>
    </w:p>
    <w:p w14:paraId="527AF0E5" w14:textId="56763731" w:rsidR="00D93636" w:rsidRDefault="00D93636" w:rsidP="00D9363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11 desayunos, 2 almuerzos y 4 cenas (sin bebidas)</w:t>
      </w:r>
    </w:p>
    <w:p w14:paraId="24865F5F" w14:textId="77777777" w:rsidR="00D93636" w:rsidRPr="00255040" w:rsidRDefault="00D93636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55040">
        <w:rPr>
          <w:rFonts w:asciiTheme="minorHAnsi" w:hAnsiTheme="minorHAnsi" w:cstheme="minorHAnsi"/>
          <w:color w:val="002060"/>
          <w:sz w:val="20"/>
          <w:szCs w:val="20"/>
        </w:rPr>
        <w:t>Traslados de llegada aeropuerto – hotel – aeropuerto en servicios compartidos en ambos destinos</w:t>
      </w:r>
    </w:p>
    <w:p w14:paraId="36FF1B3D" w14:textId="77777777" w:rsidR="00D93636" w:rsidRPr="00255040" w:rsidRDefault="00D93636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55040">
        <w:rPr>
          <w:rFonts w:asciiTheme="minorHAnsi" w:hAnsiTheme="minorHAnsi" w:cstheme="minorHAnsi"/>
          <w:color w:val="002060"/>
          <w:sz w:val="20"/>
          <w:szCs w:val="20"/>
        </w:rPr>
        <w:t>Visita de medio día visita Dubái clásico con guía de habla hispana sin comida ni bebidas</w:t>
      </w:r>
    </w:p>
    <w:p w14:paraId="44D43C9B" w14:textId="2B15AE09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0EB1F81D" w14:textId="5682BECD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Medio día visitas a las Pirámides de Guiza (no incluye la entrada a ninguna Pirámide), Esfinge, y Valle de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Kefren</w:t>
      </w:r>
      <w:proofErr w:type="spellEnd"/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sin almuerzo.</w:t>
      </w:r>
    </w:p>
    <w:p w14:paraId="704FDC70" w14:textId="77777777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Guía de habla hispana en El Cairo, y otro guía local durante el crucero.</w:t>
      </w:r>
    </w:p>
    <w:p w14:paraId="42C8A049" w14:textId="154648B6" w:rsidR="00760801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Visitas a l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os templos de Kar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ak y Luxor,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, Alta presa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de Asuán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obelisco Inacabado y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62C773" w14:textId="1CDB9826" w:rsidR="00491074" w:rsidRPr="00451161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D20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F1D2F4F" w14:textId="3307314C" w:rsidR="00304797" w:rsidRPr="00D93636" w:rsidRDefault="008A509A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68CC7EA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02810ABB" w14:textId="5678B7FA" w:rsidR="004C55B3" w:rsidRPr="004C55B3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Consultar precio para viajero solo </w:t>
      </w:r>
    </w:p>
    <w:p w14:paraId="2B854FF2" w14:textId="7852EB48" w:rsidR="004C55B3" w:rsidRPr="004C55B3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</w:t>
      </w:r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recios de los hoteles incluyen la nueva tasa de turismo "</w:t>
      </w:r>
      <w:proofErr w:type="spellStart"/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tourism</w:t>
      </w:r>
      <w:proofErr w:type="spellEnd"/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dírham"</w:t>
      </w:r>
    </w:p>
    <w:p w14:paraId="08243F24" w14:textId="1C6E81DD" w:rsidR="00392630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Horario de espera en el aeropuerto a la llegada 2 horas</w:t>
      </w:r>
    </w:p>
    <w:p w14:paraId="5326B426" w14:textId="01545496" w:rsidR="004C55B3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Dubái aplican suplementos para fechas feriadas. Consultar tarifas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0CAC8237" w14:textId="20830588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323AC48" w14:textId="77777777" w:rsidR="00A55A05" w:rsidRDefault="00A55A05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8FEE2B8" w14:textId="754C9BE3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7054BA7" w14:textId="413406A2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3EF3AD7" w14:textId="0BB0F03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DFD65D3" w14:textId="1D380754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6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7"/>
        <w:gridCol w:w="3947"/>
        <w:gridCol w:w="591"/>
      </w:tblGrid>
      <w:tr w:rsidR="00D93636" w:rsidRPr="00D93636" w14:paraId="2B67FE6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FE16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1" w:name="_GoBack"/>
            <w:bookmarkEnd w:id="1"/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HOTELES PREVISTOS O SIMILARES </w:t>
            </w:r>
          </w:p>
        </w:tc>
      </w:tr>
      <w:tr w:rsidR="00D93636" w:rsidRPr="00D93636" w14:paraId="6232D23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8375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F2693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78A7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4EB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D93636" w:rsidRPr="00D93636" w14:paraId="02551D3F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84440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F402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C665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TIME ASMA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EF97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5CC6182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A802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13B6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9D7B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MILLENIUM PLAZA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5583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93636" w:rsidRPr="00D93636" w14:paraId="0DF6CE8A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A3E8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E218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9195F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F4FD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050F7512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3908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CAE3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A3E4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4257F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93636" w:rsidRPr="00D93636" w14:paraId="5B2848E1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F7A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B796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DB6BD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86BB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1BA4B9EC" w14:textId="77777777" w:rsidTr="00D9363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C8F1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884F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F38D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4203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7817EE9D" w14:textId="10B646B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661"/>
        <w:gridCol w:w="659"/>
        <w:gridCol w:w="879"/>
      </w:tblGrid>
      <w:tr w:rsidR="00D93636" w:rsidRPr="00D93636" w14:paraId="726A1081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78E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93636" w:rsidRPr="00D93636" w14:paraId="533B491A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815D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93636" w:rsidRPr="00D93636" w14:paraId="591D232A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03C6B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AA3C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9A0A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B3BD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31CB" w:rsidRPr="00D93636" w14:paraId="2921A8E7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E35D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5035" w14:textId="0F208FC8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EF0E7" w14:textId="6AA5285E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C73C2" w14:textId="7661EE4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2560</w:t>
            </w:r>
          </w:p>
        </w:tc>
      </w:tr>
      <w:tr w:rsidR="00DE31CB" w:rsidRPr="00D93636" w14:paraId="53C62A76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96E14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0A5AC" w14:textId="69BA489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077FF" w14:textId="02F7FA2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85A89" w14:textId="04DF2A9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2485</w:t>
            </w:r>
          </w:p>
        </w:tc>
      </w:tr>
      <w:tr w:rsidR="00DE31CB" w:rsidRPr="00D93636" w14:paraId="708D36AB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7D1E5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C4702" w14:textId="43927A1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0BA5" w14:textId="119595B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46C57" w14:textId="76E32BC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3010</w:t>
            </w:r>
          </w:p>
        </w:tc>
      </w:tr>
      <w:tr w:rsidR="00DE31CB" w:rsidRPr="00D93636" w14:paraId="289E6001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4211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E816F" w14:textId="24D48DA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85184" w14:textId="4D1F871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C3F20" w14:textId="4BF815C8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E31CB" w:rsidRPr="00D93636" w14:paraId="24848DB2" w14:textId="77777777" w:rsidTr="00DE31CB">
        <w:trPr>
          <w:trHeight w:val="1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5D4BD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3059" w14:textId="4C7448B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EB06F" w14:textId="71F098B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4D99" w14:textId="6CD4346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2905</w:t>
            </w:r>
          </w:p>
        </w:tc>
      </w:tr>
      <w:tr w:rsidR="00DE31CB" w:rsidRPr="00D93636" w14:paraId="688A7954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CB877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D55B2" w14:textId="4176777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4470" w14:textId="0BD5EB3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74E0F" w14:textId="15DE704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2755</w:t>
            </w:r>
          </w:p>
        </w:tc>
      </w:tr>
      <w:tr w:rsidR="00DE31CB" w:rsidRPr="00D93636" w14:paraId="23125A0D" w14:textId="77777777" w:rsidTr="00DE31CB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D6A3A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0FD53" w14:textId="594867FC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33337" w14:textId="68E9B60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0AB8F" w14:textId="384BC5A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3535</w:t>
            </w:r>
          </w:p>
        </w:tc>
      </w:tr>
      <w:tr w:rsidR="00DE31CB" w:rsidRPr="00D93636" w14:paraId="6C4507EA" w14:textId="77777777" w:rsidTr="00DE31CB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57B0B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1210" w14:textId="60F02C21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7CB13" w14:textId="5AB9294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67AE1" w14:textId="18461AE4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E31CB" w:rsidRPr="00D93636" w14:paraId="1FE466D9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D97B7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21D1F" w14:textId="289437E3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1FB5" w14:textId="3DF70615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11661" w14:textId="50AE6051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3095</w:t>
            </w:r>
          </w:p>
        </w:tc>
      </w:tr>
      <w:tr w:rsidR="00DE31CB" w:rsidRPr="00D93636" w14:paraId="7171842F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A63FB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A6328" w14:textId="5EC74845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AE09A" w14:textId="28B732CC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76384" w14:textId="6E5202B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3095</w:t>
            </w:r>
          </w:p>
        </w:tc>
      </w:tr>
      <w:tr w:rsidR="00DE31CB" w:rsidRPr="00D93636" w14:paraId="7227EDDE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8F8FC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4A367" w14:textId="1747863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D87AD" w14:textId="2025542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AC8D8" w14:textId="57761129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3730</w:t>
            </w:r>
          </w:p>
        </w:tc>
      </w:tr>
      <w:tr w:rsidR="00D93636" w:rsidRPr="00D93636" w14:paraId="4577DC30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D50F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D9363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OCTUBRE 2026</w:t>
            </w:r>
          </w:p>
        </w:tc>
      </w:tr>
      <w:tr w:rsidR="00D93636" w:rsidRPr="00D93636" w14:paraId="1580F357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E9B8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93636" w:rsidRPr="00D93636" w14:paraId="29651C8F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0CA0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93636" w:rsidRPr="00D93636" w14:paraId="15BC6F21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0569E6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D5A7F5D" w14:textId="0FCD927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21450B7E" wp14:editId="30042E6A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352620" cy="463574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74019" w14:textId="5703B0B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5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0"/>
        <w:gridCol w:w="470"/>
      </w:tblGrid>
      <w:tr w:rsidR="00D93636" w:rsidRPr="00D93636" w14:paraId="5262A7B6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71D7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(MINIMO 2 PERSONAS) </w:t>
            </w:r>
          </w:p>
        </w:tc>
      </w:tr>
      <w:tr w:rsidR="00D93636" w:rsidRPr="00D93636" w14:paraId="6EE73212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8DB84" w14:textId="3ED9BEF5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en safari 4x4 con chofer de habla inglesa (día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A2E19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70</w:t>
            </w:r>
          </w:p>
        </w:tc>
      </w:tr>
      <w:tr w:rsidR="00D93636" w:rsidRPr="00D93636" w14:paraId="5D1C6803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8D733" w14:textId="31BF85AE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en safari 4x4 con noche en el desierto en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climatizada (día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4805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220</w:t>
            </w:r>
          </w:p>
        </w:tc>
      </w:tr>
      <w:tr w:rsidR="00D93636" w:rsidRPr="00D93636" w14:paraId="6D915931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F3633" w14:textId="4315AF03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Visita a Dubái moderno (día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F06B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30</w:t>
            </w:r>
          </w:p>
        </w:tc>
      </w:tr>
      <w:tr w:rsidR="00D93636" w:rsidRPr="00D93636" w14:paraId="2A9127E0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7AE46" w14:textId="25A0B4FE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en crucero típico por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Dhow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marina con guía en español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5AED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110</w:t>
            </w:r>
          </w:p>
        </w:tc>
      </w:tr>
      <w:tr w:rsidR="00D93636" w:rsidRPr="00D93636" w14:paraId="4C189C8B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397F1" w14:textId="7977486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Entrada Dubái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Frame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traslados ida y vuelta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8AAA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D93636" w:rsidRPr="00D93636" w14:paraId="50806CC5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A5756" w14:textId="2FBAE12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Vuelo en globo en Dubái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6C1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440</w:t>
            </w:r>
          </w:p>
        </w:tc>
      </w:tr>
    </w:tbl>
    <w:p w14:paraId="43A071D8" w14:textId="4D336DCC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9080B64" w14:textId="54A9E4D4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5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410"/>
      </w:tblGrid>
      <w:tr w:rsidR="00D93636" w:rsidRPr="00D93636" w14:paraId="11CD9345" w14:textId="77777777" w:rsidTr="0006622D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5056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(MINIMO 2 PERSONAS) </w:t>
            </w:r>
          </w:p>
        </w:tc>
      </w:tr>
      <w:tr w:rsidR="00D93636" w:rsidRPr="00D93636" w14:paraId="40AD41CB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ABFFA" w14:textId="4C3CC422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Entrada a Dubái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parks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&amp; resorts sin traslados (día 4)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3A71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80</w:t>
            </w:r>
          </w:p>
        </w:tc>
      </w:tr>
      <w:tr w:rsidR="00D93636" w:rsidRPr="00D93636" w14:paraId="6835A4AD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1E3EF" w14:textId="673CF961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a Abu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Dhabi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223D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130</w:t>
            </w:r>
          </w:p>
        </w:tc>
      </w:tr>
      <w:tr w:rsidR="00D93636" w:rsidRPr="00D93636" w14:paraId="1F659644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B7C2D" w14:textId="2BE0D53F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Visado (visado otorgado a la llegada, antes de pasar migración)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7C9C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D93636" w:rsidRPr="00D93636" w14:paraId="1A234D54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26B8C" w14:textId="36ABAE21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desayuno picnic (opcional día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A03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D93636" w:rsidRPr="00D93636" w14:paraId="691D4CE5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A3FD8" w14:textId="2325009A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Abu Simbel por tierra con almuerzo y espectáculo de luz y sonido (opcional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0216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210</w:t>
            </w:r>
          </w:p>
        </w:tc>
      </w:tr>
      <w:tr w:rsidR="00D93636" w:rsidRPr="00D93636" w14:paraId="2AFB8816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BD20C" w14:textId="66C9329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Valle de los reyes (3 zonas) - Necrópolis de Tebas (valle de los reyes, templo de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Hatshpesut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colosos de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Memnon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día 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5DC9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D93636" w:rsidRPr="00D93636" w14:paraId="136582A9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06C91" w14:textId="268210BF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en Luxor (día 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1AF79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30</w:t>
            </w:r>
          </w:p>
        </w:tc>
      </w:tr>
      <w:tr w:rsidR="00D93636" w:rsidRPr="00D93636" w14:paraId="3A91A4BD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24EBC" w14:textId="3601804A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opción para día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344C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150</w:t>
            </w:r>
          </w:p>
        </w:tc>
      </w:tr>
      <w:tr w:rsidR="00D93636" w:rsidRPr="00D93636" w14:paraId="719E2125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9AD79" w14:textId="196E1BE6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Medio día gran museo egipcio (nuevo) día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0A105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</w:tbl>
    <w:p w14:paraId="14BC6944" w14:textId="77777777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D936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6F1E" w14:textId="77777777" w:rsidR="002A7B5B" w:rsidRDefault="002A7B5B">
      <w:pPr>
        <w:spacing w:after="0" w:line="240" w:lineRule="auto"/>
      </w:pPr>
      <w:r>
        <w:separator/>
      </w:r>
    </w:p>
  </w:endnote>
  <w:endnote w:type="continuationSeparator" w:id="0">
    <w:p w14:paraId="2768FCD0" w14:textId="77777777" w:rsidR="002A7B5B" w:rsidRDefault="002A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DAB2" w14:textId="77777777" w:rsidR="002A7B5B" w:rsidRDefault="002A7B5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4BAF0F8" w14:textId="77777777" w:rsidR="002A7B5B" w:rsidRDefault="002A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67AD734D" w:rsidR="00CE0B46" w:rsidRDefault="006507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42D2EC9" wp14:editId="2714ED20">
          <wp:simplePos x="0" y="0"/>
          <wp:positionH relativeFrom="column">
            <wp:posOffset>3470910</wp:posOffset>
          </wp:positionH>
          <wp:positionV relativeFrom="paragraph">
            <wp:posOffset>274320</wp:posOffset>
          </wp:positionV>
          <wp:extent cx="915670" cy="609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6E6559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6A64FF8A" w:rsidR="00CE0B46" w:rsidRPr="006210F5" w:rsidRDefault="0065070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DUBÁI Y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</w:p>
                        <w:p w14:paraId="2258FF71" w14:textId="43EB4638" w:rsidR="00CE0B46" w:rsidRPr="006210F5" w:rsidRDefault="0065070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3126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6A64FF8A" w:rsidR="00CE0B46" w:rsidRPr="006210F5" w:rsidRDefault="0065070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DUBÁI Y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</w:p>
                  <w:p w14:paraId="2258FF71" w14:textId="43EB4638" w:rsidR="00CE0B46" w:rsidRPr="006210F5" w:rsidRDefault="0065070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3126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6622D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5C7"/>
    <w:rsid w:val="001419B5"/>
    <w:rsid w:val="00156CC2"/>
    <w:rsid w:val="00160444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55040"/>
    <w:rsid w:val="00260703"/>
    <w:rsid w:val="00262B48"/>
    <w:rsid w:val="002812AB"/>
    <w:rsid w:val="00282FC2"/>
    <w:rsid w:val="002A2F1D"/>
    <w:rsid w:val="002A3E36"/>
    <w:rsid w:val="002A7B5B"/>
    <w:rsid w:val="002B20BB"/>
    <w:rsid w:val="002B2E93"/>
    <w:rsid w:val="002C6883"/>
    <w:rsid w:val="002D336A"/>
    <w:rsid w:val="002E2148"/>
    <w:rsid w:val="002F2F45"/>
    <w:rsid w:val="0030017C"/>
    <w:rsid w:val="00304528"/>
    <w:rsid w:val="00304797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92630"/>
    <w:rsid w:val="003A5140"/>
    <w:rsid w:val="003C10B0"/>
    <w:rsid w:val="003D01BC"/>
    <w:rsid w:val="003D28A7"/>
    <w:rsid w:val="003F08F1"/>
    <w:rsid w:val="003F2A5E"/>
    <w:rsid w:val="003F6AF9"/>
    <w:rsid w:val="004002E5"/>
    <w:rsid w:val="0040211A"/>
    <w:rsid w:val="00406B6E"/>
    <w:rsid w:val="00430DCE"/>
    <w:rsid w:val="004354F5"/>
    <w:rsid w:val="00445E5F"/>
    <w:rsid w:val="00446BDA"/>
    <w:rsid w:val="00451161"/>
    <w:rsid w:val="004537D2"/>
    <w:rsid w:val="00474BAA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C112D"/>
    <w:rsid w:val="004C55B3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070E"/>
    <w:rsid w:val="006511B8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2C76"/>
    <w:rsid w:val="00825C6E"/>
    <w:rsid w:val="00826E4B"/>
    <w:rsid w:val="008323AF"/>
    <w:rsid w:val="008435D3"/>
    <w:rsid w:val="00854636"/>
    <w:rsid w:val="00865B80"/>
    <w:rsid w:val="00873D76"/>
    <w:rsid w:val="008818CD"/>
    <w:rsid w:val="0088560B"/>
    <w:rsid w:val="008873AA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B1E1C"/>
    <w:rsid w:val="009C16DF"/>
    <w:rsid w:val="009D1E3E"/>
    <w:rsid w:val="009D44A3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55A05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5500E"/>
    <w:rsid w:val="00C63F09"/>
    <w:rsid w:val="00C745C2"/>
    <w:rsid w:val="00C90CC1"/>
    <w:rsid w:val="00C97FB6"/>
    <w:rsid w:val="00CC7C11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9251E"/>
    <w:rsid w:val="00D93636"/>
    <w:rsid w:val="00DD2475"/>
    <w:rsid w:val="00DE31CB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2444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D4CF3-028A-4137-AFD5-497B0836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1698</Words>
  <Characters>9344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38</cp:revision>
  <dcterms:created xsi:type="dcterms:W3CDTF">2025-11-26T05:23:00Z</dcterms:created>
  <dcterms:modified xsi:type="dcterms:W3CDTF">2025-12-03T00:47:00Z</dcterms:modified>
</cp:coreProperties>
</file>