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C2E58" w14:textId="793C73C4" w:rsidR="00D47D8E" w:rsidRPr="00D47D8E" w:rsidRDefault="00D47D8E" w:rsidP="00D47D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D47D8E">
        <w:rPr>
          <w:rFonts w:asciiTheme="minorHAnsi" w:hAnsiTheme="minorHAnsi" w:cstheme="minorHAnsi"/>
          <w:b/>
          <w:color w:val="FF0000"/>
          <w:sz w:val="32"/>
          <w:szCs w:val="32"/>
        </w:rPr>
        <w:t>UBUD - MONTE BATUR - ESTE DE BALI - TANAH LOT - SUR DE BALI</w:t>
      </w:r>
    </w:p>
    <w:p w14:paraId="0C82F99E" w14:textId="77777777" w:rsidR="00D47D8E" w:rsidRDefault="00D47D8E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265F2656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58180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E0725A1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miércoles y domingos, del 01 abril al 31 octubre 2026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40BDD509" w14:textId="62AC0B29" w:rsidR="00404CDE" w:rsidRDefault="00D26E72" w:rsidP="00404CD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D942C2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7C033D35" w14:textId="2D7ECCEC" w:rsidR="00404CDE" w:rsidRPr="000E1BAF" w:rsidRDefault="00D942C2" w:rsidP="000E1BAF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L</w:t>
      </w:r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legada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Aeropuerto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Internacional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Bali</w:t>
      </w:r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(</w:t>
      </w:r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Denpasar-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Ngurah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Rai</w:t>
      </w:r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)</w:t>
      </w:r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traslado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hacia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Ubud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el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corazón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cultural de la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isla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rodeado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selva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arrozales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templos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Resto del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día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libre para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relajarse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explorar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su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ritmo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comenzar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disfrutar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del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ambiente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espiritual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y natural que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caracteriza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este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destino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E1BA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proofErr w:type="spellEnd"/>
      <w:r w:rsidRPr="000E1BAF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110CAC1C" w14:textId="77777777" w:rsidR="00D942C2" w:rsidRDefault="00D942C2" w:rsidP="00404CDE">
      <w:pPr>
        <w:pStyle w:val="Sinespaciado"/>
        <w:rPr>
          <w:rStyle w:val="DanmeroCar"/>
          <w:bCs/>
          <w:sz w:val="24"/>
          <w:szCs w:val="24"/>
        </w:rPr>
      </w:pPr>
    </w:p>
    <w:p w14:paraId="027ECD17" w14:textId="003DD3B9" w:rsidR="00404CDE" w:rsidRDefault="00080FEE" w:rsidP="00404CD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Ubid</w:t>
      </w:r>
      <w:proofErr w:type="spellEnd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egenungan</w:t>
      </w:r>
      <w:proofErr w:type="spellEnd"/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</w:t>
      </w:r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Gunung</w:t>
      </w:r>
      <w:proofErr w:type="spellEnd"/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Kawi </w:t>
      </w:r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Tegalalang</w:t>
      </w:r>
      <w:proofErr w:type="spellEnd"/>
    </w:p>
    <w:p w14:paraId="68CAFF64" w14:textId="4D48305E" w:rsidR="002B7CDC" w:rsidRPr="002B7CDC" w:rsidRDefault="002B7CDC" w:rsidP="003B5037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el hotel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3B503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Salida por la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mañana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para descubrir algunos de los paisajes y templos más emblemáticos de Bali. La primera parada será la cascada de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Tegenungan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donde podrán disfrutar de un entorno natural refrescante. Continuación hacia el templo de agua sagrada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Gunung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Kawi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Sebatu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reconocido por sus manantiales purificadores y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su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gran valor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espiritual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Posteriormente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visita 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Gunung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Kawi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un antiguo complejo de templos enclavado en un valle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rodeado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exuberante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vegetación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Almuerzo con vista panorámica al Monte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Batur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uno de los volcanes más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imponentes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la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isla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tarde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recorrido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por las icónicas terrazas de arroz de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Tegalalang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famosas por su sistema de irrigación tradicional, seguido de la visita al Bosque de los Monos, un santuario natural rodeado de templos y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habitado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por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macacos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Regreso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 hotel y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</w:t>
      </w:r>
      <w:r w:rsidR="003B5037" w:rsidRPr="003B5037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o</w:t>
      </w:r>
      <w:proofErr w:type="spellEnd"/>
      <w:r w:rsidR="003B5037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08D8E334" w14:textId="77777777" w:rsidR="001D6228" w:rsidRDefault="001D6228" w:rsidP="00404CDE">
      <w:pPr>
        <w:pStyle w:val="Sinespaciado"/>
        <w:rPr>
          <w:rStyle w:val="DanmeroCar"/>
          <w:bCs/>
          <w:sz w:val="24"/>
          <w:szCs w:val="24"/>
        </w:rPr>
      </w:pPr>
    </w:p>
    <w:p w14:paraId="46D16FCC" w14:textId="3EB18D20" w:rsidR="00404CDE" w:rsidRDefault="00114764" w:rsidP="00404CD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</w:t>
      </w:r>
      <w:r w:rsidR="0021040B">
        <w:rPr>
          <w:rFonts w:asciiTheme="minorHAnsi" w:eastAsia="Arial" w:hAnsiTheme="minorHAnsi" w:cstheme="minorHAnsi"/>
          <w:b/>
          <w:color w:val="FF0000"/>
          <w:sz w:val="24"/>
          <w:szCs w:val="24"/>
        </w:rPr>
        <w:t>u</w:t>
      </w:r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d</w:t>
      </w:r>
      <w:proofErr w:type="spellEnd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Lempuyang</w:t>
      </w:r>
      <w:proofErr w:type="spellEnd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Tirta</w:t>
      </w:r>
      <w:proofErr w:type="spellEnd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Gangga</w:t>
      </w:r>
      <w:proofErr w:type="spellEnd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(Este de Bali)</w:t>
      </w:r>
    </w:p>
    <w:p w14:paraId="3E0322CD" w14:textId="7CEBCB30" w:rsidR="002B7CDC" w:rsidRPr="002B7CDC" w:rsidRDefault="002B7CDC" w:rsidP="00E778B6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proofErr w:type="spellStart"/>
      <w:r w:rsidRPr="003B5037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</w:t>
      </w:r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esayuno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el hotel.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Salida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temprano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hacia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la región de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Karangasem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Visita al Templo de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Lempuyang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conocido como las “Puertas del Cielo”, uno de los sitios más fotografiados de Bali gracias a sus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espectaculares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vistas.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el camino, parada en una plantación de café local para conocer y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degustar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variedades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tradicionales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Llegada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Tirta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Gangga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antiguo palacio real rodeado de estanques y fuentes, considerado un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importante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sitio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espiritual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Almuerzo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restaurante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local.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>Continuaremos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hacia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el Palacio de Agua de Taman Ujung, un complejo arquitectónico rodeado de jardines y canales que refleja la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historia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real de Bali.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Finalizaremos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el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día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Virgin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Beach, una de las playas más tranquilas y menos concurridas de la isla, ideal para relajarse antes del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regreso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 hotel.</w:t>
      </w:r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</w:t>
      </w:r>
      <w:r w:rsidR="00E778B6" w:rsidRPr="003B5037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o</w:t>
      </w:r>
      <w:proofErr w:type="spellEnd"/>
      <w:r w:rsidR="00E778B6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</w:p>
    <w:p w14:paraId="53375DC5" w14:textId="77777777" w:rsidR="00404CDE" w:rsidRDefault="00404CDE" w:rsidP="00404CDE">
      <w:pPr>
        <w:pStyle w:val="Sinespaciado"/>
        <w:rPr>
          <w:rStyle w:val="DanmeroCar"/>
          <w:bCs/>
          <w:sz w:val="24"/>
          <w:szCs w:val="24"/>
        </w:rPr>
      </w:pPr>
    </w:p>
    <w:p w14:paraId="4E92EA93" w14:textId="390F52C1" w:rsidR="00016C25" w:rsidRDefault="00114764" w:rsidP="00404CDE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B7C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Tanah Lot - Sur de Bali</w:t>
      </w:r>
    </w:p>
    <w:p w14:paraId="4C35B409" w14:textId="0B59A673" w:rsidR="002B7CDC" w:rsidRDefault="002B7CDC" w:rsidP="00060D5C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el hotel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3B503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Salida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hacia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la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región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Tabanan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para visitar un mercado local, donde podrán conocer de cerca la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vida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cotidiana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balinesa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060D5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proofErr w:type="gram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Posteriormente</w:t>
      </w:r>
      <w:proofErr w:type="spellEnd"/>
      <w:proofErr w:type="gram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visita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icónico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Templo de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Tanah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Lot, situado sobre una formación rocosa en el océano Índico, uno de los templos más representativos de Bali y un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lugar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lleno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misticismo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3B503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Al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finalizar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traslado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hacia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la zona sur de Bali y </w:t>
      </w:r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alojamiento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hotel de playa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01528250" w14:textId="77777777" w:rsidR="000E1BAF" w:rsidRPr="002B7CDC" w:rsidRDefault="000E1BAF" w:rsidP="000E1BAF">
      <w:pPr>
        <w:pStyle w:val="Sinespaciado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7FA29D4B" w14:textId="4C5D1D09" w:rsidR="00016C25" w:rsidRDefault="00404CDE" w:rsidP="00016C25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>DÍA 5 |</w:t>
      </w:r>
      <w:r w:rsidRPr="001220FA">
        <w:rPr>
          <w:rFonts w:eastAsia="Arial"/>
          <w:sz w:val="24"/>
          <w:szCs w:val="24"/>
        </w:rPr>
        <w:t xml:space="preserve"> </w:t>
      </w:r>
      <w:r w:rsidR="002B7C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Sur de Bali </w:t>
      </w:r>
    </w:p>
    <w:p w14:paraId="1BF383AB" w14:textId="5AF2C95F" w:rsidR="002B7CDC" w:rsidRDefault="002B7CDC" w:rsidP="000E1BAF">
      <w:pPr>
        <w:pStyle w:val="Sinespaciado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el hotel.</w:t>
      </w:r>
      <w:r w:rsidR="00060D5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Día libre para disfrutar de las playas, relajarse en el hotel o realizar actividades opcionales en destinos como Nusa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Dua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Jimbaran o </w:t>
      </w:r>
      <w:proofErr w:type="spellStart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Seminyak</w:t>
      </w:r>
      <w:proofErr w:type="spellEnd"/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060D5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en</w:t>
      </w:r>
      <w:proofErr w:type="spellEnd"/>
      <w:r w:rsidRPr="002B7CD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el sur de Bali</w:t>
      </w:r>
      <w:r w:rsidRPr="002B7CD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1F7710B0" w14:textId="77777777" w:rsidR="00F3658E" w:rsidRPr="002B7CDC" w:rsidRDefault="00F3658E" w:rsidP="000E1BAF">
      <w:pPr>
        <w:pStyle w:val="Sinespaciado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3BA8E4F0" w14:textId="5239FD95" w:rsidR="00D60A0E" w:rsidRPr="002B7CDC" w:rsidRDefault="00114764" w:rsidP="002B7CDC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404CDE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Sur de Bali</w:t>
      </w:r>
    </w:p>
    <w:p w14:paraId="74CEDA2F" w14:textId="25273B29" w:rsidR="00C162D5" w:rsidRPr="00D60A0E" w:rsidRDefault="00327862" w:rsidP="00D60A0E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proofErr w:type="spellStart"/>
      <w:r w:rsidRPr="00717915">
        <w:rPr>
          <w:rFonts w:asciiTheme="minorHAnsi" w:hAnsiTheme="minorHAnsi" w:cstheme="minorHAnsi"/>
          <w:b/>
          <w:color w:val="002060"/>
          <w:sz w:val="20"/>
          <w:szCs w:val="20"/>
          <w:lang w:val="en-US" w:eastAsia="en-US" w:bidi="en-US"/>
        </w:rPr>
        <w:t>Desayuno</w:t>
      </w:r>
      <w:proofErr w:type="spellEnd"/>
      <w:r w:rsidRPr="00717915">
        <w:rPr>
          <w:rFonts w:asciiTheme="minorHAnsi" w:hAnsiTheme="minorHAnsi" w:cstheme="minorHAnsi"/>
          <w:b/>
          <w:color w:val="002060"/>
          <w:sz w:val="20"/>
          <w:szCs w:val="20"/>
          <w:lang w:val="en-US" w:eastAsia="en-US" w:bidi="en-US"/>
        </w:rPr>
        <w:t xml:space="preserve"> </w:t>
      </w:r>
      <w:proofErr w:type="spellStart"/>
      <w:r w:rsidRPr="00717915">
        <w:rPr>
          <w:rFonts w:asciiTheme="minorHAnsi" w:hAnsiTheme="minorHAnsi" w:cstheme="minorHAnsi"/>
          <w:b/>
          <w:color w:val="002060"/>
          <w:sz w:val="20"/>
          <w:szCs w:val="20"/>
          <w:lang w:val="en-US" w:eastAsia="en-US" w:bidi="en-US"/>
        </w:rPr>
        <w:t>en</w:t>
      </w:r>
      <w:proofErr w:type="spellEnd"/>
      <w:r w:rsidRPr="00717915">
        <w:rPr>
          <w:rFonts w:asciiTheme="minorHAnsi" w:hAnsiTheme="minorHAnsi" w:cstheme="minorHAnsi"/>
          <w:b/>
          <w:color w:val="002060"/>
          <w:sz w:val="20"/>
          <w:szCs w:val="20"/>
          <w:lang w:val="en-US" w:eastAsia="en-US" w:bidi="en-US"/>
        </w:rPr>
        <w:t xml:space="preserve"> el hotel.</w:t>
      </w:r>
      <w:r w:rsidRPr="00327862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 xml:space="preserve"> A la hora </w:t>
      </w:r>
      <w:proofErr w:type="spellStart"/>
      <w:r w:rsidRPr="00327862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>indicada</w:t>
      </w:r>
      <w:proofErr w:type="spellEnd"/>
      <w:r w:rsidRPr="00327862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 xml:space="preserve">, </w:t>
      </w:r>
      <w:proofErr w:type="spellStart"/>
      <w:r w:rsidRPr="00327862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>traslado</w:t>
      </w:r>
      <w:proofErr w:type="spellEnd"/>
      <w:r w:rsidRPr="00327862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 xml:space="preserve"> al </w:t>
      </w:r>
      <w:proofErr w:type="spellStart"/>
      <w:r w:rsidRPr="00327862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>aeropuerto</w:t>
      </w:r>
      <w:proofErr w:type="spellEnd"/>
      <w:r w:rsidR="00F3658E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 xml:space="preserve"> </w:t>
      </w:r>
      <w:r w:rsidR="00F3658E" w:rsidRPr="00F3658E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 xml:space="preserve">Internacional </w:t>
      </w:r>
      <w:proofErr w:type="spellStart"/>
      <w:r w:rsidR="00F3658E" w:rsidRPr="00F3658E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>Ngurah</w:t>
      </w:r>
      <w:proofErr w:type="spellEnd"/>
      <w:r w:rsidR="00F3658E" w:rsidRPr="00F3658E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 xml:space="preserve"> Rai</w:t>
      </w:r>
      <w:r w:rsidRPr="00D60A0E">
        <w:rPr>
          <w:rFonts w:asciiTheme="minorHAnsi" w:hAnsiTheme="minorHAnsi" w:cstheme="minorHAnsi"/>
          <w:color w:val="002060"/>
          <w:sz w:val="20"/>
          <w:szCs w:val="20"/>
          <w:lang w:val="en-US" w:eastAsia="en-US" w:bidi="en-US"/>
        </w:rPr>
        <w:t xml:space="preserve">. </w:t>
      </w:r>
      <w:r w:rsidRPr="00717915">
        <w:rPr>
          <w:rFonts w:asciiTheme="minorHAnsi" w:hAnsiTheme="minorHAnsi" w:cstheme="minorHAnsi"/>
          <w:b/>
          <w:color w:val="002060"/>
          <w:sz w:val="20"/>
          <w:szCs w:val="20"/>
          <w:lang w:val="en-US" w:eastAsia="en-US" w:bidi="en-US"/>
        </w:rPr>
        <w:t xml:space="preserve">Fin de los </w:t>
      </w:r>
      <w:proofErr w:type="spellStart"/>
      <w:r w:rsidRPr="00717915">
        <w:rPr>
          <w:rFonts w:asciiTheme="minorHAnsi" w:hAnsiTheme="minorHAnsi" w:cstheme="minorHAnsi"/>
          <w:b/>
          <w:color w:val="002060"/>
          <w:sz w:val="20"/>
          <w:szCs w:val="20"/>
          <w:lang w:val="en-US" w:eastAsia="en-US" w:bidi="en-US"/>
        </w:rPr>
        <w:t>ser</w:t>
      </w:r>
      <w:r w:rsidR="00717915" w:rsidRPr="00717915">
        <w:rPr>
          <w:rFonts w:asciiTheme="minorHAnsi" w:hAnsiTheme="minorHAnsi" w:cstheme="minorHAnsi"/>
          <w:b/>
          <w:color w:val="002060"/>
          <w:sz w:val="20"/>
          <w:szCs w:val="20"/>
          <w:lang w:val="en-US" w:eastAsia="en-US" w:bidi="en-US"/>
        </w:rPr>
        <w:t>vicios</w:t>
      </w:r>
      <w:proofErr w:type="spellEnd"/>
      <w:r w:rsidR="00717915">
        <w:rPr>
          <w:rFonts w:asciiTheme="minorHAnsi" w:hAnsiTheme="minorHAnsi" w:cstheme="minorHAnsi"/>
          <w:b/>
          <w:color w:val="002060"/>
          <w:sz w:val="20"/>
          <w:szCs w:val="20"/>
          <w:lang w:val="en-US" w:eastAsia="en-US" w:bidi="en-US"/>
        </w:rPr>
        <w:t>.</w:t>
      </w:r>
      <w:r w:rsidR="00717915" w:rsidRPr="0071791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7D1D8CD1" w14:textId="77777777" w:rsidR="00C162D5" w:rsidRPr="009E7CBB" w:rsidRDefault="00C162D5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25C0DF7" w:rsidR="00664597" w:rsidRPr="002F7D66" w:rsidRDefault="000E1BAF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786455E3" w:rsidR="00664597" w:rsidRPr="002F7D66" w:rsidRDefault="000E1BAF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5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B4B5A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11D5649" w14:textId="5BD8E7E0" w:rsidR="006227F6" w:rsidRPr="002F7D66" w:rsidRDefault="005B4B5A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2F7D66">
        <w:rPr>
          <w:rFonts w:asciiTheme="minorHAnsi" w:hAnsiTheme="minorHAnsi" w:cstheme="minorHAnsi"/>
          <w:color w:val="002060"/>
          <w:sz w:val="20"/>
          <w:szCs w:val="20"/>
        </w:rPr>
        <w:t xml:space="preserve">Traslados y visitas en </w:t>
      </w:r>
      <w:r w:rsidR="000E1BAF">
        <w:rPr>
          <w:rFonts w:asciiTheme="minorHAnsi" w:hAnsiTheme="minorHAnsi" w:cstheme="minorHAnsi"/>
          <w:color w:val="002060"/>
          <w:sz w:val="20"/>
          <w:szCs w:val="20"/>
        </w:rPr>
        <w:t>servicios compartidos</w:t>
      </w:r>
      <w:r w:rsidRPr="002F7D66">
        <w:rPr>
          <w:rFonts w:asciiTheme="minorHAnsi" w:hAnsiTheme="minorHAnsi" w:cstheme="minorHAnsi"/>
          <w:color w:val="002060"/>
          <w:sz w:val="20"/>
          <w:szCs w:val="20"/>
        </w:rPr>
        <w:t xml:space="preserve"> con guía local de habla hispana</w:t>
      </w:r>
    </w:p>
    <w:p w14:paraId="0D8417DF" w14:textId="2D90DAD6" w:rsidR="006227F6" w:rsidRDefault="006227F6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2F7D66">
        <w:rPr>
          <w:rFonts w:asciiTheme="minorHAnsi" w:hAnsiTheme="minorHAnsi" w:cstheme="minorHAnsi"/>
          <w:color w:val="002060"/>
          <w:sz w:val="20"/>
          <w:szCs w:val="20"/>
          <w:lang w:val="es-MX"/>
        </w:rPr>
        <w:t>Entradas a los sitios mencionados en el itinerario.</w:t>
      </w:r>
    </w:p>
    <w:p w14:paraId="0F6612FE" w14:textId="58C1301D" w:rsidR="008625CC" w:rsidRDefault="008625CC" w:rsidP="00E778B6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408FFC1" w14:textId="77777777" w:rsidR="000E1BAF" w:rsidRDefault="007D254B" w:rsidP="000E1BA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5B6626C6" w14:textId="77777777" w:rsidR="000E1BAF" w:rsidRPr="003B526A" w:rsidRDefault="000E1BAF" w:rsidP="000E1BA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-in en los hoteles es a partir de las 15:00 </w:t>
      </w:r>
      <w:proofErr w:type="spellStart"/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2872F98F" w14:textId="77777777" w:rsidR="000E1BAF" w:rsidRPr="003B526A" w:rsidRDefault="000E1BAF" w:rsidP="000E1BA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Visa a la llegada aprox. IDR 500,000 por persona (pago directo). </w:t>
      </w:r>
    </w:p>
    <w:p w14:paraId="5330F86D" w14:textId="1EB6A5CE" w:rsidR="000E1BAF" w:rsidRPr="003B526A" w:rsidRDefault="000E1BAF" w:rsidP="000E1BA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Aplica un impuesto turístico de Bali aprox. IDR 150,000 por persona (pago electrónico o a la llegada). </w:t>
      </w:r>
    </w:p>
    <w:p w14:paraId="1BCFEFC2" w14:textId="0C6DF7B1" w:rsidR="000E1BAF" w:rsidRPr="003B526A" w:rsidRDefault="003B526A" w:rsidP="000E1BA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suplementos</w:t>
      </w:r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temporada alta</w:t>
      </w:r>
    </w:p>
    <w:p w14:paraId="71C3E9FC" w14:textId="28090F16" w:rsidR="003B526A" w:rsidRPr="003B526A" w:rsidRDefault="003B526A" w:rsidP="000E1BA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B526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temporada Navideña y Fin de Año aplican cenas obligatorias</w:t>
      </w:r>
    </w:p>
    <w:bookmarkEnd w:id="0"/>
    <w:p w14:paraId="79FF0D9D" w14:textId="12BC774F" w:rsidR="003D132A" w:rsidRPr="004C7851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0E1BAF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Indonesia</w:t>
      </w:r>
      <w:r w:rsidR="003B526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B3AF918" w14:textId="26046C53" w:rsidR="00DD79D8" w:rsidRPr="003B526A" w:rsidRDefault="00DD79D8" w:rsidP="00DD79D8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  <w:r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3B526A"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INDONESIA</w:t>
      </w:r>
      <w:r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12910BFB" w14:textId="77777777" w:rsidR="00E03EE9" w:rsidRPr="003B526A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color w:val="FF0000"/>
          <w:sz w:val="20"/>
          <w:szCs w:val="20"/>
          <w:lang w:val="es-MX"/>
        </w:rPr>
      </w:pPr>
    </w:p>
    <w:tbl>
      <w:tblPr>
        <w:tblW w:w="70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121"/>
        <w:gridCol w:w="4660"/>
        <w:gridCol w:w="439"/>
      </w:tblGrid>
      <w:tr w:rsidR="003B526A" w:rsidRPr="003B526A" w14:paraId="7E016323" w14:textId="77777777" w:rsidTr="003B526A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24799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FFFFFF"/>
                <w:shd w:val="clear" w:color="auto" w:fill="002060"/>
                <w:lang w:val="es-MX" w:eastAsia="es-MX"/>
              </w:rPr>
              <w:t>HOTELES</w:t>
            </w:r>
            <w:r w:rsidRPr="003B526A"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  <w:t xml:space="preserve"> O SIMILAR </w:t>
            </w:r>
          </w:p>
        </w:tc>
      </w:tr>
      <w:tr w:rsidR="003B526A" w:rsidRPr="003B526A" w14:paraId="28E57875" w14:textId="77777777" w:rsidTr="003B526A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53C84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F4A46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153B8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59016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3B526A" w:rsidRPr="003B526A" w14:paraId="4E13A876" w14:textId="77777777" w:rsidTr="003B526A">
        <w:trPr>
          <w:trHeight w:val="25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AD987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7CC4A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UBUD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4E7DB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STHALA / A TRIBUTE PORTFOLIO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FA682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</w:t>
            </w:r>
          </w:p>
        </w:tc>
      </w:tr>
      <w:tr w:rsidR="003B526A" w:rsidRPr="003B526A" w14:paraId="149B3902" w14:textId="77777777" w:rsidTr="003B526A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8B89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EA5A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E4188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ELEMENT BY WESTIN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4D925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3B526A" w:rsidRPr="003B526A" w14:paraId="06035841" w14:textId="77777777" w:rsidTr="003B526A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6D007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76F44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44B8F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KAPPA SENSES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38E35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3B526A" w:rsidRPr="003B526A" w14:paraId="20F7A144" w14:textId="77777777" w:rsidTr="003B526A">
        <w:trPr>
          <w:trHeight w:val="25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D76A7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DB19F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SUR DE BALI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3E925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SADARA RESORT / SANUR RESORT WATUJIMBAR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3F5C0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</w:t>
            </w:r>
          </w:p>
        </w:tc>
      </w:tr>
      <w:tr w:rsidR="003B526A" w:rsidRPr="003B526A" w14:paraId="45C4DEF5" w14:textId="77777777" w:rsidTr="003B526A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715D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3D773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D285F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AYODYA RESORT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2BD4B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3B526A" w:rsidRPr="003B526A" w14:paraId="21BA7633" w14:textId="77777777" w:rsidTr="003B526A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A2875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E6F9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FA977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THE WESTING RESORT NUSA DUA / BALI BEACH SANUR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4E6E4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3421D810" w14:textId="116A9F01" w:rsidR="00EB31CE" w:rsidRDefault="00EB31CE" w:rsidP="003B526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0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299"/>
        <w:gridCol w:w="3671"/>
        <w:gridCol w:w="963"/>
      </w:tblGrid>
      <w:tr w:rsidR="00EB31CE" w:rsidRPr="00EB31CE" w14:paraId="145EEC08" w14:textId="77777777" w:rsidTr="00EB31CE">
        <w:trPr>
          <w:trHeight w:val="26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BF2D1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EXTENSIÓN A LOMBOK </w:t>
            </w:r>
          </w:p>
        </w:tc>
      </w:tr>
      <w:tr w:rsidR="00EB31CE" w:rsidRPr="00EB31CE" w14:paraId="161778B9" w14:textId="77777777" w:rsidTr="00EB31C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1B9EA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5F2AB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B477C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25730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EB31CE" w:rsidRPr="00EB31CE" w14:paraId="47C0219E" w14:textId="77777777" w:rsidTr="00EB31C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F1219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60819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LOMBOK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177B4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ROYAL AVILA BOUTIQUE 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A1F51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T/P/ PS</w:t>
            </w:r>
          </w:p>
        </w:tc>
      </w:tr>
    </w:tbl>
    <w:p w14:paraId="010A79B7" w14:textId="77777777" w:rsidR="00EB31CE" w:rsidRDefault="00EB31CE" w:rsidP="003B526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1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1037"/>
        <w:gridCol w:w="1037"/>
        <w:gridCol w:w="1037"/>
      </w:tblGrid>
      <w:tr w:rsidR="003B526A" w:rsidRPr="003B526A" w14:paraId="4728B052" w14:textId="77777777" w:rsidTr="003B526A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4CCFC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3B526A" w:rsidRPr="003B526A" w14:paraId="664125D5" w14:textId="77777777" w:rsidTr="003B526A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10C48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3B526A" w:rsidRPr="003B526A" w14:paraId="3021079D" w14:textId="77777777" w:rsidTr="003B526A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549FF" w14:textId="77777777" w:rsidR="003B526A" w:rsidRPr="003B526A" w:rsidRDefault="003B526A" w:rsidP="003B526A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01 ABR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4B1E0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8AA21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37FF7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3B526A" w:rsidRPr="003B526A" w14:paraId="2163AF44" w14:textId="77777777" w:rsidTr="003B526A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DE68D" w14:textId="77777777" w:rsidR="003B526A" w:rsidRPr="003B526A" w:rsidRDefault="003B526A" w:rsidP="003B526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2AB3B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FC197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27873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1390</w:t>
            </w:r>
          </w:p>
        </w:tc>
      </w:tr>
      <w:tr w:rsidR="003B526A" w:rsidRPr="003B526A" w14:paraId="52517838" w14:textId="77777777" w:rsidTr="003B526A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7953B" w14:textId="77777777" w:rsidR="003B526A" w:rsidRPr="003B526A" w:rsidRDefault="003B526A" w:rsidP="003B526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49D86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BF426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220CE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1530</w:t>
            </w:r>
          </w:p>
        </w:tc>
      </w:tr>
      <w:tr w:rsidR="003B526A" w:rsidRPr="003B526A" w14:paraId="128C20C8" w14:textId="77777777" w:rsidTr="003B526A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DE013" w14:textId="77777777" w:rsidR="003B526A" w:rsidRPr="003B526A" w:rsidRDefault="003B526A" w:rsidP="003B526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A09AC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20459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D7D49" w14:textId="77777777" w:rsidR="003B526A" w:rsidRPr="003B526A" w:rsidRDefault="003B526A" w:rsidP="003B526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sz w:val="20"/>
                <w:szCs w:val="20"/>
                <w:lang w:val="es-MX" w:eastAsia="es-MX"/>
              </w:rPr>
              <w:t>2210</w:t>
            </w:r>
          </w:p>
        </w:tc>
      </w:tr>
      <w:tr w:rsidR="003B526A" w:rsidRPr="003B526A" w14:paraId="3141373A" w14:textId="77777777" w:rsidTr="008E7D58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2422B" w14:textId="745E1CFD" w:rsidR="003B526A" w:rsidRPr="003B526A" w:rsidRDefault="003B526A" w:rsidP="003B52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B52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3B52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</w:t>
            </w:r>
            <w:r w:rsidRPr="003B52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ESPECIALES. CONSULTAR SUPLEMENTO</w:t>
            </w: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3B526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r w:rsidRPr="003B526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3B526A" w:rsidRPr="003B526A" w14:paraId="7B239D4B" w14:textId="77777777" w:rsidTr="008E7D58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DF06A1D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B526A" w:rsidRPr="003B526A" w14:paraId="27F0A614" w14:textId="77777777" w:rsidTr="008E7D58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0564062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B526A" w:rsidRPr="003B526A" w14:paraId="2516E735" w14:textId="77777777" w:rsidTr="008E7D58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62002C3" w14:textId="77777777" w:rsidR="003B526A" w:rsidRPr="003B526A" w:rsidRDefault="003B526A" w:rsidP="003B526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C2F5EAE" w14:textId="104FFD66" w:rsidR="004B7921" w:rsidRDefault="004B7921" w:rsidP="004017C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67B8F0C4" w14:textId="4198E700" w:rsidR="004B7921" w:rsidRDefault="00EB31CE" w:rsidP="00EB31C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bookmarkStart w:id="1" w:name="_GoBack"/>
      <w:bookmarkEnd w:id="1"/>
      <w:r>
        <w:rPr>
          <w:rFonts w:asciiTheme="minorHAnsi" w:hAnsiTheme="minorHAnsi" w:cstheme="minorHAnsi"/>
          <w:b/>
          <w:noProof/>
          <w:color w:val="002060"/>
          <w:sz w:val="20"/>
          <w:szCs w:val="20"/>
          <w:u w:val="single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1E2C0DF" wp14:editId="38B6B6D6">
            <wp:simplePos x="0" y="0"/>
            <wp:positionH relativeFrom="column">
              <wp:posOffset>2400300</wp:posOffset>
            </wp:positionH>
            <wp:positionV relativeFrom="paragraph">
              <wp:posOffset>-1270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03841" w14:textId="4DEAF5AC" w:rsidR="004B7921" w:rsidRDefault="004B7921" w:rsidP="004017C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1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755"/>
      </w:tblGrid>
      <w:tr w:rsidR="00EB31CE" w:rsidRPr="00EB31CE" w14:paraId="722696CB" w14:textId="77777777" w:rsidTr="00EB31CE">
        <w:trPr>
          <w:trHeight w:val="21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1299F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EXTENSION A </w:t>
            </w:r>
            <w:r w:rsidRPr="00EB31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LOMBOK</w:t>
            </w:r>
            <w:r w:rsidRPr="00EB31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y OPCIÓN DE TRASLADOS </w:t>
            </w:r>
          </w:p>
        </w:tc>
      </w:tr>
      <w:tr w:rsidR="00EB31CE" w:rsidRPr="00EB31CE" w14:paraId="72A683D0" w14:textId="77777777" w:rsidTr="00EB31CE">
        <w:trPr>
          <w:trHeight w:val="21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3E860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EB31CE" w:rsidRPr="00EB31CE" w14:paraId="7A63C88E" w14:textId="77777777" w:rsidTr="00EB31CE">
        <w:trPr>
          <w:trHeight w:val="214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BB3B3" w14:textId="77777777" w:rsidR="00EB31CE" w:rsidRPr="00EB31CE" w:rsidRDefault="00EB31CE" w:rsidP="00EB31C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Extensión de 3D a Lombok en hab. DBL </w:t>
            </w:r>
            <w:proofErr w:type="spellStart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deluxe</w:t>
            </w:r>
            <w:proofErr w:type="spellEnd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vista al Océano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9E505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EB31CE" w:rsidRPr="00EB31CE" w14:paraId="3C986AF2" w14:textId="77777777" w:rsidTr="00EB31CE">
        <w:trPr>
          <w:trHeight w:val="214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1E453" w14:textId="77777777" w:rsidR="00EB31CE" w:rsidRPr="00EB31CE" w:rsidRDefault="00EB31CE" w:rsidP="00EB31C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Extensión de 3D a Lombok en hab. DBL premier con vista al Océano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11DFF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EB31CE" w:rsidRPr="00EB31CE" w14:paraId="747EFD10" w14:textId="77777777" w:rsidTr="00EB31CE">
        <w:trPr>
          <w:trHeight w:val="214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B9F4E" w14:textId="77777777" w:rsidR="00EB31CE" w:rsidRPr="00EB31CE" w:rsidRDefault="00EB31CE" w:rsidP="00EB31C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Extensión de 3D a Lombok en hab. DBL suite con vista al Océano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B418F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EB31CE" w:rsidRPr="00EB31CE" w14:paraId="64C24F00" w14:textId="77777777" w:rsidTr="00EB31CE">
        <w:trPr>
          <w:trHeight w:val="203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F413A" w14:textId="77777777" w:rsidR="00EB31CE" w:rsidRPr="00EB31CE" w:rsidRDefault="00EB31CE" w:rsidP="00EB31C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Tarslado</w:t>
            </w:r>
            <w:proofErr w:type="spellEnd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lancha rápida de Bali a Lombok </w:t>
            </w:r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Desde el Puerto de </w:t>
            </w:r>
            <w:proofErr w:type="spellStart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Serangan</w:t>
            </w:r>
            <w:proofErr w:type="spellEnd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/</w:t>
            </w:r>
            <w:proofErr w:type="spellStart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Sanur</w:t>
            </w:r>
            <w:proofErr w:type="spellEnd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Bali hacia Puerto de </w:t>
            </w:r>
            <w:proofErr w:type="spellStart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Bangsal</w:t>
            </w:r>
            <w:proofErr w:type="spellEnd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Lombok</w:t>
            </w:r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8:00 am a las 12:00 </w:t>
            </w:r>
            <w:proofErr w:type="spellStart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aprox</w:t>
            </w:r>
            <w:proofErr w:type="spellEnd"/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635FF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EB31CE" w:rsidRPr="00EB31CE" w14:paraId="1057CC4B" w14:textId="77777777" w:rsidTr="00EB31CE">
        <w:trPr>
          <w:trHeight w:val="214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DAB43" w14:textId="77777777" w:rsidR="00EB31CE" w:rsidRPr="00EB31CE" w:rsidRDefault="00EB31CE" w:rsidP="00EB31C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Traslado en vuelo interno en clase turista, equipaje permitido por persona 20kg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FF145" w14:textId="77777777" w:rsidR="00EB31CE" w:rsidRPr="00EB31CE" w:rsidRDefault="00EB31CE" w:rsidP="00EB31C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B31C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49DF9C14" w14:textId="77777777" w:rsidR="004B7921" w:rsidRPr="004017CF" w:rsidRDefault="004B7921" w:rsidP="004017C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sectPr w:rsidR="004B7921" w:rsidRPr="004017CF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5E3C" w14:textId="77777777" w:rsidR="00C311B3" w:rsidRDefault="00C311B3" w:rsidP="000D4B74">
      <w:r>
        <w:separator/>
      </w:r>
    </w:p>
  </w:endnote>
  <w:endnote w:type="continuationSeparator" w:id="0">
    <w:p w14:paraId="467A40D5" w14:textId="77777777" w:rsidR="00C311B3" w:rsidRDefault="00C311B3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2F9F3" w14:textId="77777777" w:rsidR="00C311B3" w:rsidRDefault="00C311B3" w:rsidP="000D4B74">
      <w:r>
        <w:separator/>
      </w:r>
    </w:p>
  </w:footnote>
  <w:footnote w:type="continuationSeparator" w:id="0">
    <w:p w14:paraId="5BAE4C8D" w14:textId="77777777" w:rsidR="00C311B3" w:rsidRDefault="00C311B3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508DF1D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A157A0A" w14:textId="77777777" w:rsidR="00D47D8E" w:rsidRDefault="00D47D8E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DESCUBRE BALI </w:t>
                          </w:r>
                        </w:p>
                        <w:p w14:paraId="041A546C" w14:textId="67D50D0C" w:rsidR="00514517" w:rsidRPr="00983E4D" w:rsidRDefault="00D47D8E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2578- A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A157A0A" w14:textId="77777777" w:rsidR="00D47D8E" w:rsidRDefault="00D47D8E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DESCUBRE BALI </w:t>
                    </w:r>
                  </w:p>
                  <w:p w14:paraId="041A546C" w14:textId="67D50D0C" w:rsidR="00514517" w:rsidRPr="00983E4D" w:rsidRDefault="00D47D8E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2578- A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40E01F07" w:rsidR="00514517" w:rsidRDefault="00D47D8E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71132868" wp14:editId="4006E417">
          <wp:simplePos x="0" y="0"/>
          <wp:positionH relativeFrom="column">
            <wp:posOffset>3898900</wp:posOffset>
          </wp:positionH>
          <wp:positionV relativeFrom="paragraph">
            <wp:posOffset>5715</wp:posOffset>
          </wp:positionV>
          <wp:extent cx="980317" cy="6540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7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1.25pt;height:11.25pt" o:bullet="t">
        <v:imagedata r:id="rId1" o:title="mso88"/>
      </v:shape>
    </w:pict>
  </w:numPicBullet>
  <w:numPicBullet w:numPicBulletId="1">
    <w:pict>
      <v:shape id="_x0000_i1219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7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0"/>
  </w:num>
  <w:num w:numId="13">
    <w:abstractNumId w:val="27"/>
  </w:num>
  <w:num w:numId="14">
    <w:abstractNumId w:val="27"/>
  </w:num>
  <w:num w:numId="15">
    <w:abstractNumId w:val="42"/>
  </w:num>
  <w:num w:numId="16">
    <w:abstractNumId w:val="20"/>
  </w:num>
  <w:num w:numId="17">
    <w:abstractNumId w:val="5"/>
  </w:num>
  <w:num w:numId="18">
    <w:abstractNumId w:val="41"/>
  </w:num>
  <w:num w:numId="19">
    <w:abstractNumId w:val="38"/>
  </w:num>
  <w:num w:numId="20">
    <w:abstractNumId w:val="35"/>
  </w:num>
  <w:num w:numId="21">
    <w:abstractNumId w:val="30"/>
  </w:num>
  <w:num w:numId="22">
    <w:abstractNumId w:val="9"/>
  </w:num>
  <w:num w:numId="23">
    <w:abstractNumId w:val="43"/>
  </w:num>
  <w:num w:numId="24">
    <w:abstractNumId w:val="25"/>
  </w:num>
  <w:num w:numId="25">
    <w:abstractNumId w:val="32"/>
  </w:num>
  <w:num w:numId="26">
    <w:abstractNumId w:val="45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6"/>
  </w:num>
  <w:num w:numId="34">
    <w:abstractNumId w:val="44"/>
  </w:num>
  <w:num w:numId="35">
    <w:abstractNumId w:val="8"/>
  </w:num>
  <w:num w:numId="36">
    <w:abstractNumId w:val="16"/>
  </w:num>
  <w:num w:numId="37">
    <w:abstractNumId w:val="33"/>
  </w:num>
  <w:num w:numId="38">
    <w:abstractNumId w:val="39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0D5C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E14"/>
    <w:rsid w:val="000E1BAF"/>
    <w:rsid w:val="000E286B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82955"/>
    <w:rsid w:val="00182C6E"/>
    <w:rsid w:val="00187BA7"/>
    <w:rsid w:val="001911B0"/>
    <w:rsid w:val="00194275"/>
    <w:rsid w:val="00195126"/>
    <w:rsid w:val="00196B3F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722E"/>
    <w:rsid w:val="00207520"/>
    <w:rsid w:val="00210321"/>
    <w:rsid w:val="0021040B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B7CDC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E6001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786"/>
    <w:rsid w:val="00327862"/>
    <w:rsid w:val="00333589"/>
    <w:rsid w:val="00343E11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5037"/>
    <w:rsid w:val="003B526A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7851"/>
    <w:rsid w:val="004D0C08"/>
    <w:rsid w:val="004D1CD1"/>
    <w:rsid w:val="004E111A"/>
    <w:rsid w:val="004E3DF5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1806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40CC"/>
    <w:rsid w:val="00731B3E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239AA"/>
    <w:rsid w:val="00825DF6"/>
    <w:rsid w:val="00833023"/>
    <w:rsid w:val="0083663A"/>
    <w:rsid w:val="008459CB"/>
    <w:rsid w:val="00851DB8"/>
    <w:rsid w:val="00851FF4"/>
    <w:rsid w:val="00855733"/>
    <w:rsid w:val="008625CC"/>
    <w:rsid w:val="00873ACF"/>
    <w:rsid w:val="008769EC"/>
    <w:rsid w:val="00883ADC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E8A"/>
    <w:rsid w:val="008E7D58"/>
    <w:rsid w:val="008F39EA"/>
    <w:rsid w:val="00901A8A"/>
    <w:rsid w:val="009024B9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D07AE"/>
    <w:rsid w:val="009D3B0F"/>
    <w:rsid w:val="009E3B59"/>
    <w:rsid w:val="009E521B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37AA"/>
    <w:rsid w:val="00A40804"/>
    <w:rsid w:val="00A43083"/>
    <w:rsid w:val="00A4361C"/>
    <w:rsid w:val="00A456AF"/>
    <w:rsid w:val="00A45D38"/>
    <w:rsid w:val="00A51A9C"/>
    <w:rsid w:val="00A5530C"/>
    <w:rsid w:val="00A5533F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5840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1B3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5CE1"/>
    <w:rsid w:val="00C76924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47D8E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42C2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2BE7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778B6"/>
    <w:rsid w:val="00E80251"/>
    <w:rsid w:val="00E8131F"/>
    <w:rsid w:val="00E82E1B"/>
    <w:rsid w:val="00E90426"/>
    <w:rsid w:val="00E90844"/>
    <w:rsid w:val="00EB17C1"/>
    <w:rsid w:val="00EB20F1"/>
    <w:rsid w:val="00EB31A9"/>
    <w:rsid w:val="00EB31CE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3658E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B59F-F8B5-4908-90A8-7E961A84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26</cp:revision>
  <dcterms:created xsi:type="dcterms:W3CDTF">2026-04-17T22:14:00Z</dcterms:created>
  <dcterms:modified xsi:type="dcterms:W3CDTF">2026-04-17T23:08:00Z</dcterms:modified>
</cp:coreProperties>
</file>