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845FFE" w:rsidRDefault="00BB549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Nueva York, Boston, Quebec, Montreal, Ottawa, Toronto</w:t>
      </w:r>
      <w:r w:rsidR="006F3B6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Niagara Falls</w:t>
      </w:r>
      <w:r w:rsidR="006F3B6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Washington</w:t>
      </w:r>
    </w:p>
    <w:p w:rsidR="007F7B70" w:rsidRPr="00845F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6F3B6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viernes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fechas específicas del 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1566B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diciembre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y 0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marzo al 1</w:t>
      </w:r>
      <w:r w:rsidR="00BB549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abril 2027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B549E">
        <w:rPr>
          <w:rFonts w:eastAsia="Arial"/>
          <w:sz w:val="24"/>
          <w:szCs w:val="24"/>
        </w:rPr>
        <w:t>Nueva York</w:t>
      </w:r>
    </w:p>
    <w:p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BB549E">
        <w:rPr>
          <w:rFonts w:asciiTheme="minorHAnsi" w:eastAsia="Arial" w:hAnsiTheme="minorHAnsi" w:cstheme="minorHAnsi"/>
          <w:color w:val="002060"/>
          <w:sz w:val="20"/>
        </w:rPr>
        <w:t>Nueva York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BB549E">
        <w:rPr>
          <w:rFonts w:eastAsia="Arial"/>
          <w:sz w:val="24"/>
          <w:szCs w:val="24"/>
        </w:rPr>
        <w:t>Nueva York – B</w:t>
      </w:r>
      <w:r w:rsidR="001566BA">
        <w:rPr>
          <w:rFonts w:eastAsia="Arial"/>
          <w:sz w:val="24"/>
          <w:szCs w:val="24"/>
        </w:rPr>
        <w:t>oston</w:t>
      </w:r>
    </w:p>
    <w:p w:rsidR="00DE7D94" w:rsidRPr="00AA04FE" w:rsidRDefault="00DF3286" w:rsidP="00BB549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4E28D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Por la mañana partimos rumbo a Boston, vía el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estado de Connecticut. Llegando a Boston iniciamos nuestra visita de la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ciudad: la Plaza Copley donde se encuentran la iglesia de la Trinidad, el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Edificio Hancock, la Biblioteca de la ciudad, etc.; la Universidad de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Harvard, el barrio de Back Bay y el Mercado Quincy. Finalizado el tour</w:t>
      </w:r>
      <w:r w:rsidR="00BB54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549E" w:rsidRPr="00BB549E">
        <w:rPr>
          <w:rFonts w:asciiTheme="minorHAnsi" w:hAnsiTheme="minorHAnsi" w:cstheme="minorHAnsi"/>
          <w:color w:val="002060"/>
          <w:sz w:val="20"/>
          <w:szCs w:val="20"/>
        </w:rPr>
        <w:t>nos dirigimos al hotel.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Boston – Quebec</w:t>
      </w:r>
    </w:p>
    <w:p w:rsidR="004E28D7" w:rsidRPr="00AA04FE" w:rsidRDefault="004E28D7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Por la mañana partimos hacia la ciudad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amurallada de Quebec acompañados por el bello paisaje que son los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montes Apalaches a través de los Estados de </w:t>
      </w:r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New Hampshire</w:t>
      </w:r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Vermont. Se llega a media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:rsidR="00547E7B" w:rsidRPr="00AA04FE" w:rsidRDefault="00547E7B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Por la mañana visitaremos la histórica ciudad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Quebec, las más vieja de esta nación. Visita panorámica: la Universidad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de Laval, monumentos históricos, la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Citadel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vistas del Rio San Lorenzo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otros puntos de interés. 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Luego del almuerzo (no incluido</w:t>
      </w:r>
      <w:r w:rsidR="001566BA" w:rsidRPr="002E7CFA">
        <w:rPr>
          <w:rFonts w:asciiTheme="minorHAnsi" w:hAnsiTheme="minorHAnsi" w:cstheme="minorHAnsi"/>
          <w:b/>
          <w:bCs/>
          <w:color w:val="EE0000"/>
          <w:sz w:val="20"/>
          <w:szCs w:val="20"/>
        </w:rPr>
        <w:t>)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partiremos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hacia la ciudad de Montreal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Montreal – Ottawa</w:t>
      </w:r>
    </w:p>
    <w:p w:rsidR="00547E7B" w:rsidRPr="00AA04FE" w:rsidRDefault="00547E7B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Conozca lo mejor que ofrece la ciudad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Montreal en esta visita turística con un guía profesional. Disfrute de un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viaje en el tiempo desde la colonización francesa e inglesa hasta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nuestros días. Comenzamos nuestra visita panorámica por el barrio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ingles de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Westmount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el Oratorio San José, el parque del monte real con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su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espectacular vista de la ciudad, caminaremos por el parque hasta 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mirador del </w:t>
      </w:r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chalet</w:t>
      </w:r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de la Montana, si el clima lo permite, si no, visitaremos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el mirador del belvedere. Continuamos hacia la milla cuadrada dorada,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Universidad Mc Gill, distrito financiero, plaza de Canadá, la catedral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católica María Reina del Mundo. Continuamos hacia el Viejo Montreal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pasando por la plaza de la reina Victoria y bordeando el perímetro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Viejo Montreal y el Viejo Puerto, luego hacia la plaza de armas para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visitar la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basílica </w:t>
      </w:r>
      <w:proofErr w:type="spellStart"/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Notre</w:t>
      </w:r>
      <w:proofErr w:type="spellEnd"/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Dame (admisión NO incluida)</w:t>
      </w:r>
      <w:r w:rsid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.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Caminaremos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hasta el edificio del ayuntamiento donde se encuentra la plaza Jacques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Cartier, corazón turístico del viejo Montreal donde tendrá tiempo y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almorzar antes de continuar Viaje a Ottawa. En el camino haremos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parada en el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Parc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Omega donde tendrá la oportunidad de ver la fauna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de Canadá muy de cerca. Terminando en el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Parc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Omega, continuamos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a Ottawa.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Ottawa – Toronto</w:t>
      </w:r>
    </w:p>
    <w:p w:rsidR="00547E7B" w:rsidRPr="00AA04FE" w:rsidRDefault="00547E7B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1566BA">
        <w:rPr>
          <w:rFonts w:asciiTheme="minorHAnsi" w:hAnsiTheme="minorHAnsi" w:cstheme="minorHAnsi"/>
          <w:b/>
          <w:bCs/>
          <w:color w:val="002060"/>
          <w:sz w:val="20"/>
          <w:szCs w:val="20"/>
        </w:rPr>
        <w:t>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Comenzamos nuestra visita a la ciudad Capital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Canadá, visitando El Parlamento (En Verano veremos el Cambio de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Guardia), barrios residenciales, mansiones del </w:t>
      </w:r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Primer Ministro</w:t>
      </w:r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y 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Gobernador General, las residencias de los embajadores, la Corte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Suprema y otros puntos de interés. Luego del </w:t>
      </w:r>
      <w:r w:rsidR="001566BA" w:rsidRPr="001566BA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(no incluido)</w:t>
      </w:r>
      <w:r w:rsidR="001566BA" w:rsidRPr="001566BA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salida hacia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Brockville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para disfrutar de un pequeño crucero por las Mil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Islas del Rio St. Lawrence. Esta región es el lugar donde se creó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popular aderezo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Thousand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Islands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es también una de las regiones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este de Canadá preferidas como destino turístico. El crucero, que tiene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una duración aproximada de 1 hora, muestra las espectaculares vistas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panorámicas de la zona y brinda información sobre la historia del área,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sus leyendas y su gente. también se pueden ver en este lugar barcos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de todo el mundo que navegan cautelosamente por las angostas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secciones del rio </w:t>
      </w:r>
      <w:proofErr w:type="spellStart"/>
      <w:proofErr w:type="gram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St.Lawrence</w:t>
      </w:r>
      <w:proofErr w:type="spellEnd"/>
      <w:proofErr w:type="gram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, el canal de agua dulce más largo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mundo. 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ontinuación del viaje en autobús hacia Toronto. Lle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>gada</w:t>
      </w:r>
      <w:r w:rsidR="005754A9" w:rsidRPr="005754A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C200D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C200DE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>Toronto – Niagara Falls</w:t>
      </w:r>
    </w:p>
    <w:p w:rsidR="00C200DE" w:rsidRPr="001566BA" w:rsidRDefault="00C200DE" w:rsidP="001566B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Por la mañana iniciamos nuestro recorrido por la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ciudad: la Alcaldía, el Parlamento Provincial, la Universidad de Toronto,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: el barrio bohemio, la zona residencial de Forest Hill y el área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donde se encuentra la muy conocida torre CN. Luego continuaremos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hacia Niagara que se encuentra a una hora aproximadamente, en la ruta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visitaremos el pueblo de ensueño que es Niagara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1566BA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1566BA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1566BA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1566BA">
        <w:rPr>
          <w:rFonts w:asciiTheme="minorHAnsi" w:hAnsiTheme="minorHAnsi" w:cstheme="minorHAnsi"/>
          <w:color w:val="002060"/>
          <w:sz w:val="20"/>
          <w:szCs w:val="20"/>
        </w:rPr>
        <w:t>-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Lake, la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primera capital que tuvo Canadá. Recorremos el área vitivinícola del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Niagara y comenzaremos el tour por la zona, visitando el reloj floral; el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remolino sobre el cual viaja el carro aéreo español. Paseo en el barco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 xml:space="preserve"> (mayo a octubre) o los túneles escénicos (octubre a mayo).</w:t>
      </w:r>
      <w:r w:rsidR="001566B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566BA" w:rsidRPr="001566BA">
        <w:rPr>
          <w:rFonts w:asciiTheme="minorHAnsi" w:hAnsiTheme="minorHAnsi" w:cstheme="minorHAnsi"/>
          <w:color w:val="002060"/>
          <w:sz w:val="20"/>
          <w:szCs w:val="20"/>
        </w:rPr>
        <w:t>Llegada.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C200DE" w:rsidRPr="00C200DE" w:rsidRDefault="00C200DE" w:rsidP="00C200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200DE">
        <w:rPr>
          <w:rStyle w:val="DanmeroCar"/>
          <w:rFonts w:cs="Times New Roman"/>
          <w:b/>
          <w:sz w:val="24"/>
          <w:szCs w:val="24"/>
        </w:rPr>
        <w:t>DÍA 8 |</w:t>
      </w:r>
      <w:r w:rsidRPr="00C200DE">
        <w:rPr>
          <w:rFonts w:eastAsia="Arial"/>
          <w:sz w:val="24"/>
          <w:szCs w:val="24"/>
        </w:rPr>
        <w:t xml:space="preserve"> </w:t>
      </w:r>
      <w:r w:rsidR="001566BA">
        <w:rPr>
          <w:rStyle w:val="DestinosCar"/>
          <w:rFonts w:cs="Times New Roman"/>
          <w:b/>
          <w:smallCaps w:val="0"/>
          <w:sz w:val="24"/>
          <w:szCs w:val="24"/>
        </w:rPr>
        <w:t xml:space="preserve">Niagara Falls – </w:t>
      </w:r>
      <w:r w:rsidR="006F3B64">
        <w:rPr>
          <w:rStyle w:val="DestinosCar"/>
          <w:rFonts w:cs="Times New Roman"/>
          <w:b/>
          <w:smallCaps w:val="0"/>
          <w:sz w:val="24"/>
          <w:szCs w:val="24"/>
        </w:rPr>
        <w:t>Washington</w:t>
      </w:r>
    </w:p>
    <w:p w:rsidR="00C200DE" w:rsidRDefault="00C200DE" w:rsidP="006F3B6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72022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Hoy partimos hacia Washington. El camino nos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llevara por los Estados de New York y Pennsylvania atravesando los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montes Apalaches. Luego continuamos nuestro viaje para llegar a la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ciudad capital de EE. UU., Washington DC en las últimas horas de la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tarde</w:t>
      </w:r>
      <w:r w:rsidRPr="00C200D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C200DE" w:rsidRPr="00C200DE" w:rsidRDefault="00C200DE" w:rsidP="00C200D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C200DE" w:rsidRPr="00BD0EA5" w:rsidRDefault="00C200DE" w:rsidP="00C200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F3B64">
        <w:rPr>
          <w:rStyle w:val="DestinosCar"/>
          <w:rFonts w:cs="Times New Roman"/>
          <w:b/>
          <w:smallCaps w:val="0"/>
          <w:sz w:val="24"/>
          <w:szCs w:val="24"/>
        </w:rPr>
        <w:t>Washington</w:t>
      </w:r>
    </w:p>
    <w:p w:rsidR="00C200DE" w:rsidRPr="00AA04FE" w:rsidRDefault="00C200DE" w:rsidP="006F3B6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Salida para la visita de cuatro horas que nos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llevara hasta el Cementerio de Arlington donde se encuentran las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tumbas de los hermanos Kennedy; monumento a la memoria del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presidente Lincoln, IWO JIMA; la Casa Blanca (por fuera); la Avenida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Pennsylvania y el Capitolio. Tarde libre para visitar los museos del</w:t>
      </w:r>
      <w:r w:rsidR="006F3B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 xml:space="preserve">Instituto </w:t>
      </w:r>
      <w:proofErr w:type="spellStart"/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Smithsonian</w:t>
      </w:r>
      <w:proofErr w:type="spellEnd"/>
      <w:r w:rsidR="006F3B64" w:rsidRPr="006F3B64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6F3B64" w:rsidRPr="00BD0EA5" w:rsidRDefault="006F3B64" w:rsidP="006F3B6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10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Washington – Amish – Filadelfia – Nueva York</w:t>
      </w:r>
    </w:p>
    <w:p w:rsidR="006F3B64" w:rsidRDefault="006F3B64" w:rsidP="006F3B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americano.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Por la mañana iniciamos nuestro regreso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Nueva York. Viajando hacia el estado de Pennsylvania pasaremos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Lancaster y el centro Amish donde haremos una breve visita y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el Amish </w:t>
      </w:r>
      <w:proofErr w:type="spellStart"/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Village</w:t>
      </w:r>
      <w:proofErr w:type="spellEnd"/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Continuamos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Filadelfia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, ciudad donde trece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colonias declararon su independencia de Inglaterra. Al llegar se realiza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una breve visita que incluye: El camino de </w:t>
      </w:r>
      <w:proofErr w:type="spellStart"/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Elfreth</w:t>
      </w:r>
      <w:proofErr w:type="spellEnd"/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, el antiguo barrio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victoriano, el boulevard Benjamín Franklin con parada frente al Museo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Arte y la Campana de la Libertad. Continuamos nuestro viaje a Nueva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F3B64">
        <w:rPr>
          <w:rFonts w:asciiTheme="minorHAnsi" w:eastAsia="Arial" w:hAnsiTheme="minorHAnsi" w:cstheme="minorHAnsi"/>
          <w:color w:val="002060"/>
          <w:sz w:val="20"/>
          <w:szCs w:val="20"/>
        </w:rPr>
        <w:t>York. Llegada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F3B64" w:rsidRPr="006F3B64" w:rsidRDefault="006F3B64" w:rsidP="006F3B6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C200DE">
        <w:rPr>
          <w:rStyle w:val="DanmeroCar"/>
          <w:rFonts w:cs="Times New Roman"/>
          <w:b/>
          <w:sz w:val="24"/>
          <w:szCs w:val="24"/>
        </w:rPr>
        <w:t>1</w:t>
      </w:r>
      <w:r w:rsidR="006F3B64">
        <w:rPr>
          <w:rStyle w:val="DanmeroCar"/>
          <w:rFonts w:cs="Times New Roman"/>
          <w:b/>
          <w:sz w:val="24"/>
          <w:szCs w:val="24"/>
        </w:rPr>
        <w:t>1</w:t>
      </w:r>
      <w:r w:rsidR="00DF463C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20228">
        <w:rPr>
          <w:rStyle w:val="DestinosCar"/>
          <w:rFonts w:cs="Times New Roman"/>
          <w:b/>
          <w:smallCaps w:val="0"/>
          <w:sz w:val="24"/>
          <w:szCs w:val="24"/>
        </w:rPr>
        <w:t>N</w:t>
      </w:r>
      <w:r w:rsidR="00DF463C">
        <w:rPr>
          <w:rStyle w:val="DestinosCar"/>
          <w:rFonts w:cs="Times New Roman"/>
          <w:b/>
          <w:smallCaps w:val="0"/>
          <w:sz w:val="24"/>
          <w:szCs w:val="24"/>
        </w:rPr>
        <w:t>ueva York</w:t>
      </w:r>
    </w:p>
    <w:p w:rsidR="002D3018" w:rsidRDefault="00DF3286" w:rsidP="0072022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Y 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DF463C" w:rsidRPr="00DF463C" w:rsidRDefault="00DF463C" w:rsidP="00FB7521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Admisión al barco de Mil Islas - Opera de mayo 1 a octubre 31 - En invierno se hará el museo de la civilización en Ottawa</w:t>
      </w:r>
    </w:p>
    <w:p w:rsidR="00DF463C" w:rsidRPr="00DF463C" w:rsidRDefault="00DF463C" w:rsidP="00DF463C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 w:rsidR="006F3B64">
        <w:rPr>
          <w:rFonts w:asciiTheme="minorHAnsi" w:eastAsia="Arial" w:hAnsiTheme="minorHAnsi" w:cstheme="minorHAnsi"/>
          <w:color w:val="002060"/>
          <w:sz w:val="20"/>
          <w:szCs w:val="20"/>
        </w:rPr>
        <w:t>10</w:t>
      </w: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- </w:t>
      </w:r>
      <w:r w:rsidR="006F3B64"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americanos y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ontinental</w:t>
      </w:r>
    </w:p>
    <w:p w:rsidR="00DF463C" w:rsidRPr="00DF463C" w:rsidRDefault="00DF463C" w:rsidP="00D26D1E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proofErr w:type="spellStart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 Opera de Mayo a octubre. Fuera de temporada será substituido por los túneles escénicos.</w:t>
      </w:r>
    </w:p>
    <w:p w:rsidR="00DF463C" w:rsidRPr="00DF463C" w:rsidRDefault="00DF463C" w:rsidP="00D61E03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 maletas adicionales serán cobradas</w:t>
      </w:r>
    </w:p>
    <w:p w:rsidR="00DF463C" w:rsidRPr="00DF463C" w:rsidRDefault="00DF463C" w:rsidP="00130635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Incluye Traslado de llegada y salida Vuelos Nocturnos llevaran un Suplemento de $50 por tramo, se consideran entren las 22:00 y 07:00</w:t>
      </w:r>
    </w:p>
    <w:p w:rsidR="00DF463C" w:rsidRPr="00DF463C" w:rsidRDefault="00DF463C" w:rsidP="00E7020E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Salidas que cruzan Toronto los días junio 23 a 27 serán operadas en el Holiday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nn</w:t>
      </w:r>
      <w:proofErr w:type="spellEnd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aeropuerto, debido el Mundial de Futbol</w:t>
      </w:r>
    </w:p>
    <w:p w:rsidR="00DF463C" w:rsidRPr="00DF463C" w:rsidRDefault="006F3B64" w:rsidP="00DF463C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Visita Amish</w:t>
      </w:r>
    </w:p>
    <w:p w:rsidR="00DF463C" w:rsidRDefault="00DF463C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y admisión al </w:t>
      </w:r>
      <w:proofErr w:type="spellStart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>Parc</w:t>
      </w:r>
      <w:proofErr w:type="spellEnd"/>
      <w:r w:rsidRP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Omega</w:t>
      </w:r>
    </w:p>
    <w:p w:rsidR="00C56D58" w:rsidRPr="00C56D58" w:rsidRDefault="00C56D58" w:rsidP="00DF463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Estados Unidos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 Y 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720228" w:rsidRPr="00720228" w:rsidRDefault="0072022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highlight w:val="yellow"/>
        </w:rPr>
      </w:pPr>
      <w:r w:rsidRPr="00720228">
        <w:rPr>
          <w:rFonts w:asciiTheme="minorHAnsi" w:eastAsia="Arial" w:hAnsiTheme="minorHAnsi" w:cstheme="minorHAnsi"/>
          <w:b/>
          <w:bCs/>
          <w:color w:val="EE0000"/>
          <w:sz w:val="20"/>
          <w:szCs w:val="20"/>
          <w:highlight w:val="yellow"/>
        </w:rPr>
        <w:t>Para entrar a Canadá vía terrestre es necesario tramitar visa canadiense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Pr="00BB549E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5649"/>
        <w:gridCol w:w="558"/>
      </w:tblGrid>
      <w:tr w:rsidR="006F3B64" w:rsidRPr="006F3B64" w:rsidTr="006F3B64">
        <w:trPr>
          <w:trHeight w:val="266"/>
          <w:jc w:val="center"/>
        </w:trPr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NUEVA YORK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6F3B64">
              <w:rPr>
                <w:rFonts w:ascii="Calibri" w:hAnsi="Calibri" w:cs="Calibri"/>
                <w:lang w:val="en-US" w:bidi="ar-SA"/>
              </w:rPr>
              <w:t>NEW YORKER HOTEL BY LOTTE HOTELS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BOSTON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6F3B64">
              <w:rPr>
                <w:rFonts w:ascii="Calibri" w:hAnsi="Calibri" w:cs="Calibri"/>
                <w:lang w:val="en-US" w:bidi="ar-SA"/>
              </w:rPr>
              <w:t>COURTYARD BY MARRIOTT BOSTON / WOBURN NORTH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QUEBEC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6F3B64">
              <w:rPr>
                <w:rFonts w:ascii="Calibri" w:hAnsi="Calibri" w:cs="Calibri"/>
                <w:lang w:bidi="ar-SA"/>
              </w:rPr>
              <w:t>LE CLASSIQUE SAINTE-FOY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MONTREAL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6F3B64">
              <w:rPr>
                <w:rFonts w:ascii="Calibri" w:hAnsi="Calibri" w:cs="Calibri"/>
                <w:lang w:bidi="ar-SA"/>
              </w:rPr>
              <w:t>LE NOUVEL HOTEL MONTREAL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HULL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6F3B64">
              <w:rPr>
                <w:rFonts w:ascii="Calibri" w:hAnsi="Calibri" w:cs="Calibri"/>
                <w:lang w:val="en-US" w:bidi="ar-SA"/>
              </w:rPr>
              <w:t>FOUR POINTS SHERATON GATINEAU OTTAWA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TORONTO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6F3B64">
              <w:rPr>
                <w:rFonts w:ascii="Calibri" w:hAnsi="Calibri" w:cs="Calibri"/>
                <w:lang w:bidi="ar-SA"/>
              </w:rPr>
              <w:t>CHELSEA TORONTO HOTEL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NIAGARA FALLS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6F3B64">
              <w:rPr>
                <w:rFonts w:ascii="Calibri" w:hAnsi="Calibri" w:cs="Calibri"/>
                <w:lang w:val="en-US" w:bidi="ar-SA"/>
              </w:rPr>
              <w:t>THE OAKES HOTEL OVERLOOKING THE FALLS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6F3B64" w:rsidRPr="006F3B64" w:rsidTr="006F3B64">
        <w:trPr>
          <w:trHeight w:val="276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WASHINGTON</w:t>
            </w: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6F3B64">
              <w:rPr>
                <w:rFonts w:ascii="Calibri" w:hAnsi="Calibri" w:cs="Calibri"/>
                <w:lang w:val="en-US" w:bidi="ar-SA"/>
              </w:rPr>
              <w:t>WESTIN WASHINGTON DC CITY CENTER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6F3B64" w:rsidRPr="00367FBE" w:rsidTr="006F3B64">
        <w:trPr>
          <w:trHeight w:val="266"/>
          <w:jc w:val="center"/>
        </w:trPr>
        <w:tc>
          <w:tcPr>
            <w:tcW w:w="78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6F3B64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720228" w:rsidRPr="00656FC6" w:rsidRDefault="0072022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3498"/>
      </w:tblGrid>
      <w:tr w:rsidR="006F3B64" w:rsidRPr="006F3B64" w:rsidTr="006F3B64">
        <w:trPr>
          <w:trHeight w:val="290"/>
          <w:jc w:val="center"/>
        </w:trPr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6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8, 2</w:t>
            </w:r>
            <w:r w:rsidR="00367FBE">
              <w:rPr>
                <w:rFonts w:ascii="Calibri" w:hAnsi="Calibri" w:cs="Calibri"/>
                <w:b/>
                <w:bCs/>
                <w:color w:val="FF0000"/>
                <w:lang w:bidi="ar-SA"/>
              </w:rPr>
              <w:t>2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 xml:space="preserve">5, </w:t>
            </w: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19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3, 10,</w:t>
            </w:r>
            <w:r w:rsidRPr="006F3B64">
              <w:rPr>
                <w:rFonts w:ascii="Calibri" w:hAnsi="Calibri" w:cs="Calibri"/>
                <w:b/>
                <w:bCs/>
                <w:lang w:bidi="ar-SA"/>
              </w:rPr>
              <w:t xml:space="preserve"> </w:t>
            </w: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17, 24, 31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7, 14, 21, 28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 xml:space="preserve">4, 11, </w:t>
            </w: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 xml:space="preserve">18, </w:t>
            </w: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25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2, 9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18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60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6F3B64" w:rsidRPr="006F3B64" w:rsidTr="006F3B64">
        <w:trPr>
          <w:trHeight w:val="30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5, 19</w:t>
            </w:r>
          </w:p>
        </w:tc>
      </w:tr>
      <w:tr w:rsidR="006F3B64" w:rsidRPr="006F3B64" w:rsidTr="006F3B64">
        <w:trPr>
          <w:trHeight w:val="290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2, 16</w:t>
            </w:r>
          </w:p>
        </w:tc>
      </w:tr>
    </w:tbl>
    <w:p w:rsidR="00C616B4" w:rsidRDefault="00132971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en-US"/>
        </w:rPr>
      </w:pPr>
      <w:r w:rsidRPr="00132971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en-US"/>
        </w:rPr>
        <w:t>TEMPORADA BAJA</w:t>
      </w:r>
    </w:p>
    <w:p w:rsidR="00BB549E" w:rsidRPr="00BB549E" w:rsidRDefault="00BB549E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</w:pPr>
      <w:r w:rsidRPr="00BB549E">
        <w:rPr>
          <w:rFonts w:asciiTheme="minorHAnsi" w:eastAsia="Arial" w:hAnsiTheme="minorHAnsi" w:cstheme="minorHAnsi"/>
          <w:b/>
          <w:bCs/>
          <w:color w:val="EE0000"/>
          <w:sz w:val="20"/>
          <w:szCs w:val="20"/>
          <w:lang w:val="en-US"/>
        </w:rPr>
        <w:t>TEMPORADA MEDIA</w:t>
      </w:r>
    </w:p>
    <w:p w:rsidR="00132971" w:rsidRPr="00BB549E" w:rsidRDefault="00132971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70C0"/>
          <w:sz w:val="20"/>
          <w:szCs w:val="20"/>
          <w:lang w:val="en-US"/>
        </w:rPr>
      </w:pPr>
      <w:r w:rsidRPr="00BB549E">
        <w:rPr>
          <w:rFonts w:asciiTheme="minorHAnsi" w:eastAsia="Arial" w:hAnsiTheme="minorHAnsi" w:cstheme="minorHAnsi"/>
          <w:b/>
          <w:bCs/>
          <w:color w:val="0070C0"/>
          <w:sz w:val="20"/>
          <w:szCs w:val="20"/>
          <w:lang w:val="en-US"/>
        </w:rPr>
        <w:t>TEMPORADA ALTA</w:t>
      </w:r>
    </w:p>
    <w:p w:rsidR="00BB549E" w:rsidRPr="00BB549E" w:rsidRDefault="00BB549E" w:rsidP="00132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B050"/>
          <w:sz w:val="20"/>
          <w:szCs w:val="20"/>
          <w:lang w:val="en-US"/>
        </w:rPr>
      </w:pPr>
      <w:r w:rsidRPr="00BB549E">
        <w:rPr>
          <w:rFonts w:asciiTheme="minorHAnsi" w:eastAsia="Arial" w:hAnsiTheme="minorHAnsi" w:cstheme="minorHAnsi"/>
          <w:b/>
          <w:bCs/>
          <w:color w:val="00B050"/>
          <w:sz w:val="20"/>
          <w:szCs w:val="20"/>
          <w:lang w:val="en-US"/>
        </w:rPr>
        <w:t>TEMPORADA ESPECIAL</w:t>
      </w:r>
    </w:p>
    <w:p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theme="minorHAnsi"/>
          <w:sz w:val="20"/>
          <w:szCs w:val="20"/>
          <w:lang w:val="en-US"/>
        </w:rPr>
      </w:pPr>
    </w:p>
    <w:p w:rsidR="006F3B64" w:rsidRDefault="006F3B6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663"/>
        <w:gridCol w:w="663"/>
        <w:gridCol w:w="663"/>
        <w:gridCol w:w="663"/>
        <w:gridCol w:w="694"/>
      </w:tblGrid>
      <w:tr w:rsidR="006F3B64" w:rsidRPr="006F3B64" w:rsidTr="006F3B64">
        <w:trPr>
          <w:trHeight w:val="266"/>
          <w:jc w:val="center"/>
        </w:trPr>
        <w:tc>
          <w:tcPr>
            <w:tcW w:w="6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6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F3B64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3190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2840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2630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4550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1590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3240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2870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2620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4690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1590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color w:val="0070C0"/>
                <w:lang w:bidi="ar-SA"/>
              </w:rPr>
              <w:t>TEMPORADA ALTA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3320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2910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2680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4800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1590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color w:val="00B050"/>
                <w:lang w:bidi="ar-SA"/>
              </w:rPr>
              <w:t>TEMPORADA ESPECIAL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3450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3000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2750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5010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1590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6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F3B64" w:rsidRPr="006F3B64" w:rsidTr="006F3B64">
        <w:trPr>
          <w:trHeight w:val="275"/>
          <w:jc w:val="center"/>
        </w:trPr>
        <w:tc>
          <w:tcPr>
            <w:tcW w:w="63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6F3B64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3500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3150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2940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4860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lang w:bidi="ar-SA"/>
              </w:rPr>
              <w:t>1900</w:t>
            </w:r>
          </w:p>
        </w:tc>
      </w:tr>
      <w:tr w:rsidR="006F3B64" w:rsidRPr="006F3B64" w:rsidTr="006F3B64">
        <w:trPr>
          <w:trHeight w:val="289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color w:val="FF0000"/>
                <w:lang w:bidi="ar-SA"/>
              </w:rPr>
              <w:t>TEMPORADA MEDIA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3550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3180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2930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5000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lang w:bidi="ar-SA"/>
              </w:rPr>
              <w:t>1900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color w:val="0070C0"/>
                <w:lang w:bidi="ar-SA"/>
              </w:rPr>
              <w:t>TEMPORADA ALTA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3630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3220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2990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5110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70C0"/>
                <w:lang w:bidi="ar-SA"/>
              </w:rPr>
              <w:t>1900</w:t>
            </w:r>
          </w:p>
        </w:tc>
      </w:tr>
      <w:tr w:rsidR="006F3B64" w:rsidRPr="006F3B64" w:rsidTr="006F3B64">
        <w:trPr>
          <w:trHeight w:val="266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rPr>
                <w:rFonts w:ascii="Calibri" w:hAnsi="Calibri" w:cs="Calibri"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color w:val="00B050"/>
                <w:lang w:bidi="ar-SA"/>
              </w:rPr>
              <w:t>TEMPORADA ESPECIAL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3760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3310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3060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5320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B050"/>
                <w:lang w:bidi="ar-SA"/>
              </w:rPr>
              <w:t>1900</w:t>
            </w:r>
          </w:p>
        </w:tc>
      </w:tr>
    </w:tbl>
    <w:p w:rsidR="00720228" w:rsidRDefault="0072022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7"/>
      </w:tblGrid>
      <w:tr w:rsidR="006F3B64" w:rsidRPr="006F3B64" w:rsidTr="006F3B64">
        <w:trPr>
          <w:trHeight w:val="236"/>
          <w:jc w:val="center"/>
        </w:trPr>
        <w:tc>
          <w:tcPr>
            <w:tcW w:w="902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6F3B64" w:rsidRPr="006F3B64" w:rsidTr="006F3B64">
        <w:trPr>
          <w:trHeight w:val="236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NUEVA YORK - MÉXICO</w:t>
            </w:r>
          </w:p>
        </w:tc>
      </w:tr>
      <w:tr w:rsidR="006F3B64" w:rsidRPr="006F3B64" w:rsidTr="006F3B64">
        <w:trPr>
          <w:trHeight w:val="236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6F3B64" w:rsidRPr="006F3B64" w:rsidTr="006F3B64">
        <w:trPr>
          <w:trHeight w:val="256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6F3B64" w:rsidRPr="006F3B64" w:rsidTr="006F3B64">
        <w:trPr>
          <w:trHeight w:val="244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6F3B64" w:rsidRPr="006F3B64" w:rsidTr="006F3B64">
        <w:trPr>
          <w:trHeight w:val="244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6F3B64" w:rsidRPr="006F3B64" w:rsidTr="006F3B64">
        <w:trPr>
          <w:trHeight w:val="244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6F3B64" w:rsidRPr="006F3B64" w:rsidTr="006F3B64">
        <w:trPr>
          <w:trHeight w:val="244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08 DE MAYO AL 18 DE DICIEMBRE 2026 Y 05 DE MARZO AL 16 DE ABRIL 2027</w:t>
            </w:r>
          </w:p>
        </w:tc>
      </w:tr>
      <w:tr w:rsidR="006F3B64" w:rsidRPr="006F3B64" w:rsidTr="006F3B64">
        <w:trPr>
          <w:trHeight w:val="310"/>
          <w:jc w:val="center"/>
        </w:trPr>
        <w:tc>
          <w:tcPr>
            <w:tcW w:w="902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6F3B64" w:rsidRPr="006F3B64" w:rsidRDefault="006F3B64" w:rsidP="006F3B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F3B6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720228" w:rsidRDefault="0072022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20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C3A" w:rsidRDefault="00DD3C3A">
      <w:pPr>
        <w:spacing w:after="0" w:line="240" w:lineRule="auto"/>
      </w:pPr>
      <w:r>
        <w:separator/>
      </w:r>
    </w:p>
  </w:endnote>
  <w:endnote w:type="continuationSeparator" w:id="0">
    <w:p w:rsidR="00DD3C3A" w:rsidRDefault="00DD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8022CB6" wp14:editId="667A3222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C3A" w:rsidRDefault="00DD3C3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DD3C3A" w:rsidRDefault="00DD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B89254C" wp14:editId="3768C17B">
              <wp:simplePos x="0" y="0"/>
              <wp:positionH relativeFrom="column">
                <wp:posOffset>-520065</wp:posOffset>
              </wp:positionH>
              <wp:positionV relativeFrom="paragraph">
                <wp:posOffset>-116205</wp:posOffset>
              </wp:positionV>
              <wp:extent cx="5365750" cy="8572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572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F3B64" w:rsidRDefault="006F3B6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F3B6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CANADÁ MAGNÍFICO CON NUEVA YORK</w:t>
                          </w:r>
                        </w:p>
                        <w:p w:rsidR="00A0012D" w:rsidRPr="00BB549E" w:rsidRDefault="006F3B64" w:rsidP="006F3B6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F3B6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2197-C2026/2027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9254C" id="Rectángulo 817596098" o:spid="_x0000_s1026" style="position:absolute;left:0;text-align:left;margin-left:-40.95pt;margin-top:-9.15pt;width:422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6F3B64" w:rsidRDefault="006F3B6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F3B6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CANADÁ MAGNÍFICO CON NUEVA YORK</w:t>
                    </w:r>
                  </w:p>
                  <w:p w:rsidR="00A0012D" w:rsidRPr="00BB549E" w:rsidRDefault="006F3B64" w:rsidP="006F3B64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F3B6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2197-C2026/2027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8D3629A" wp14:editId="707A7C6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6030F5A" wp14:editId="5E70AF7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4080B73" wp14:editId="63ABFC7D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0D7460"/>
    <w:rsid w:val="000F69F1"/>
    <w:rsid w:val="001028E3"/>
    <w:rsid w:val="00121872"/>
    <w:rsid w:val="00121D3F"/>
    <w:rsid w:val="001308DE"/>
    <w:rsid w:val="00132971"/>
    <w:rsid w:val="001566BA"/>
    <w:rsid w:val="00164DB6"/>
    <w:rsid w:val="001760D9"/>
    <w:rsid w:val="001934F5"/>
    <w:rsid w:val="00197448"/>
    <w:rsid w:val="001C2C85"/>
    <w:rsid w:val="001D37F1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E2148"/>
    <w:rsid w:val="002E7CFA"/>
    <w:rsid w:val="002F0D34"/>
    <w:rsid w:val="00344D3D"/>
    <w:rsid w:val="003472AF"/>
    <w:rsid w:val="003549A2"/>
    <w:rsid w:val="00367FBE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E28D7"/>
    <w:rsid w:val="004E74C8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4A1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C3B08"/>
    <w:rsid w:val="006D29F5"/>
    <w:rsid w:val="006D33A0"/>
    <w:rsid w:val="006D72E8"/>
    <w:rsid w:val="006F3B64"/>
    <w:rsid w:val="00720228"/>
    <w:rsid w:val="00724E17"/>
    <w:rsid w:val="00792693"/>
    <w:rsid w:val="00794B66"/>
    <w:rsid w:val="00796145"/>
    <w:rsid w:val="007A3CDE"/>
    <w:rsid w:val="007A7EDC"/>
    <w:rsid w:val="007B0736"/>
    <w:rsid w:val="007B6AC0"/>
    <w:rsid w:val="007C6DC9"/>
    <w:rsid w:val="007D07FC"/>
    <w:rsid w:val="007F47E9"/>
    <w:rsid w:val="007F7B70"/>
    <w:rsid w:val="00805CC4"/>
    <w:rsid w:val="00825C6E"/>
    <w:rsid w:val="00845FF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41B77"/>
    <w:rsid w:val="00B5480D"/>
    <w:rsid w:val="00B840FB"/>
    <w:rsid w:val="00B8522A"/>
    <w:rsid w:val="00BA37C5"/>
    <w:rsid w:val="00BB3D24"/>
    <w:rsid w:val="00BB549E"/>
    <w:rsid w:val="00BB793D"/>
    <w:rsid w:val="00BC30AB"/>
    <w:rsid w:val="00BD0EA5"/>
    <w:rsid w:val="00BE5582"/>
    <w:rsid w:val="00BF498E"/>
    <w:rsid w:val="00C01B68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C0D4B"/>
    <w:rsid w:val="00CE0C8F"/>
    <w:rsid w:val="00D01596"/>
    <w:rsid w:val="00D2140A"/>
    <w:rsid w:val="00D6671F"/>
    <w:rsid w:val="00D71BE3"/>
    <w:rsid w:val="00DA2079"/>
    <w:rsid w:val="00DD2475"/>
    <w:rsid w:val="00DD3C3A"/>
    <w:rsid w:val="00DE3DFE"/>
    <w:rsid w:val="00DE7D94"/>
    <w:rsid w:val="00DF3286"/>
    <w:rsid w:val="00DF463C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07D82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117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2025-10-02T21:49:00Z</dcterms:created>
  <dcterms:modified xsi:type="dcterms:W3CDTF">2025-10-02T21:49:00Z</dcterms:modified>
</cp:coreProperties>
</file>