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80D6" w14:textId="77777777" w:rsidR="008579C0" w:rsidRDefault="008579C0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</w:p>
    <w:p w14:paraId="2A7A0CE9" w14:textId="3E50F3BD" w:rsidR="00516726" w:rsidRPr="00516726" w:rsidRDefault="00EE58E4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BEIJING - XI’AN - SHANGHÁI - BANGKOK – CHIANG RAI – CHIANG MAI – BANGKOK </w:t>
      </w:r>
    </w:p>
    <w:p w14:paraId="6A46FB12" w14:textId="076FC44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00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250A2E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00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 de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4A96A576" w:rsidR="00D30FF5" w:rsidRDefault="00A06CEA" w:rsidP="00D30FF5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49E5DE89" w14:textId="77777777" w:rsidR="00BA0037" w:rsidRDefault="00BA0037" w:rsidP="00BA003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1296FAB9" w14:textId="77777777" w:rsidR="00BA0037" w:rsidRPr="00110B02" w:rsidRDefault="00BA0037" w:rsidP="00BA003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451D5396" w14:textId="77777777" w:rsidR="00BA0037" w:rsidRDefault="00BA0037" w:rsidP="00BA0037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111C8D2B" w14:textId="77777777" w:rsidR="00BA0037" w:rsidRDefault="00BA0037" w:rsidP="00BA003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0F605EC6" w14:textId="77777777" w:rsidR="00BA0037" w:rsidRPr="00B85C01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7F209596" w14:textId="77777777" w:rsidR="00BA0037" w:rsidRPr="00B85C01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0179C85" w14:textId="77777777" w:rsidR="00BA0037" w:rsidRDefault="00BA0037" w:rsidP="00BA003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44DC6C10" w14:textId="77777777" w:rsidR="00BA0037" w:rsidRPr="00AC00C2" w:rsidRDefault="00BA0037" w:rsidP="00BA003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2A822B" w14:textId="77777777" w:rsidR="00BA0037" w:rsidRPr="00AC00C2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14D09C17" w14:textId="77777777" w:rsidR="00BA0037" w:rsidRPr="00B85C01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200EA7C" w14:textId="20B1D5EB" w:rsidR="00BA0037" w:rsidRDefault="00BA0037" w:rsidP="00BA0037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Xi’</w:t>
      </w:r>
      <w:r w:rsidR="003400A5">
        <w:rPr>
          <w:rFonts w:asciiTheme="minorHAnsi" w:eastAsia="Arial" w:hAnsiTheme="minorHAnsi" w:cstheme="minorHAnsi"/>
          <w:b/>
          <w:color w:val="FF0000"/>
          <w:sz w:val="24"/>
          <w:szCs w:val="24"/>
        </w:rPr>
        <w:t>a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n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8305F81" w14:textId="77777777" w:rsidR="00BA0037" w:rsidRPr="003F5062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12CCA425" w14:textId="77777777" w:rsidR="00BA0037" w:rsidRPr="00B85C01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4FC1CF78" w14:textId="77777777" w:rsidR="00BA0037" w:rsidRPr="00691D53" w:rsidRDefault="00BA0037" w:rsidP="00BA0037">
      <w:pPr>
        <w:tabs>
          <w:tab w:val="left" w:pos="1418"/>
        </w:tabs>
        <w:ind w:right="-142"/>
        <w:jc w:val="center"/>
        <w:rPr>
          <w:rFonts w:ascii="Arial" w:hAnsi="Arial" w:cs="Arial"/>
          <w:b/>
          <w:bCs/>
          <w:color w:val="002060"/>
          <w:sz w:val="20"/>
          <w:szCs w:val="20"/>
        </w:rPr>
      </w:pPr>
      <w:r w:rsidRPr="00691D53">
        <w:rPr>
          <w:rFonts w:ascii="Arial" w:hAnsi="Arial" w:cs="Arial"/>
          <w:b/>
          <w:bCs/>
          <w:color w:val="002060"/>
          <w:sz w:val="20"/>
          <w:szCs w:val="20"/>
        </w:rPr>
        <w:t>OPCIONAL (TRAVEL SHOP PACK) BEIJING - LUOYANG – XI’AN</w:t>
      </w:r>
    </w:p>
    <w:p w14:paraId="594118FE" w14:textId="77777777" w:rsidR="00BA0037" w:rsidRPr="008F31D5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31689F6B" w14:textId="77777777" w:rsidR="00BA0037" w:rsidRPr="00B85C01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5B888DE" w14:textId="77777777" w:rsidR="00BA0037" w:rsidRDefault="00BA0037" w:rsidP="00BA003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63675A94" w14:textId="77777777" w:rsidR="00BA0037" w:rsidRPr="00DB6C14" w:rsidRDefault="00BA0037" w:rsidP="00BA003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conocer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sobre el proceso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F0AC6DF" w14:textId="77777777" w:rsidR="00BA0037" w:rsidRPr="008D5CE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B7C0A17" w14:textId="77777777" w:rsidR="00BA0037" w:rsidRPr="0055713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509BED38" w14:textId="77777777" w:rsidR="00BA0037" w:rsidRPr="00D93CE4" w:rsidRDefault="00BA0037" w:rsidP="00BA003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08E86785" w14:textId="77777777" w:rsidR="00BA0037" w:rsidRPr="008D5CE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56D81B8D" w14:textId="77777777" w:rsidR="00BA0037" w:rsidRPr="0055713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3BA5DFF1" w14:textId="77777777" w:rsidR="00BA0037" w:rsidRPr="00B87955" w:rsidRDefault="00BA0037" w:rsidP="00BA003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8CF3B8" w14:textId="77777777" w:rsidR="00BA0037" w:rsidRPr="008D5CE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442C2C2" w14:textId="7AA60148" w:rsidR="00BA0037" w:rsidRDefault="00BA0037" w:rsidP="00BA003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- Bangkok </w:t>
      </w:r>
      <w:r w:rsidRPr="00BA0037">
        <w:rPr>
          <w:rFonts w:asciiTheme="minorHAnsi" w:eastAsia="Arial" w:hAnsiTheme="minorHAnsi" w:cstheme="minorHAnsi"/>
          <w:color w:val="FF0000"/>
        </w:rPr>
        <w:t>(vuelo interno)</w:t>
      </w:r>
      <w:r w:rsidR="003400A5">
        <w:rPr>
          <w:rFonts w:asciiTheme="minorHAnsi" w:eastAsia="Arial" w:hAnsiTheme="minorHAnsi" w:cstheme="minorHAnsi"/>
          <w:color w:val="FF0000"/>
        </w:rPr>
        <w:t xml:space="preserve"> </w:t>
      </w:r>
    </w:p>
    <w:p w14:paraId="73D147F0" w14:textId="2EAE604A" w:rsidR="00BA0037" w:rsidRDefault="00BA0037" w:rsidP="00BA0037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BA0037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BA003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 la hora acordada se te brindará el traslado hacia el aeropuerto para que tomes el vuelo con dirección a Bangkok (vuelo no incluido). Una vez llegado al aeropuerto de Bangkok tendrás el traslado de llegada.</w:t>
      </w:r>
      <w:r w:rsidR="00BF20D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BA0037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036C8495" w14:textId="77777777" w:rsidR="00D45EC0" w:rsidRDefault="00D45EC0" w:rsidP="00D45EC0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registrar en el hotel es después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3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pm.</w:t>
      </w:r>
    </w:p>
    <w:p w14:paraId="51C0167F" w14:textId="77777777" w:rsidR="00BA0037" w:rsidRPr="008D5CE4" w:rsidRDefault="00BA0037" w:rsidP="00BA0037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C10B7E" w14:textId="4D8C16B9" w:rsidR="00BF20DD" w:rsidRDefault="00BA0037" w:rsidP="00BF20D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F20DD">
        <w:rPr>
          <w:rFonts w:asciiTheme="minorHAnsi" w:eastAsia="Arial" w:hAnsiTheme="minorHAnsi" w:cstheme="minorHAnsi"/>
          <w:b/>
          <w:color w:val="FF0000"/>
        </w:rPr>
        <w:t>Bangkok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534B549A" w14:textId="3141619B" w:rsidR="00BF20DD" w:rsidRPr="00BF20DD" w:rsidRDefault="00BF20DD" w:rsidP="00BF20D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BF20D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BF20D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Este día es totalmente libre para que puedas recorrer por cuenta propia los alrededores.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BF20D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 en hotel.</w:t>
      </w:r>
    </w:p>
    <w:p w14:paraId="10567E35" w14:textId="61345EAA" w:rsidR="00BA0037" w:rsidRDefault="00BA0037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293BF44D" w14:textId="29A2260A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D45EC0"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  <w:r w:rsidR="003400A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7ACD68D" w14:textId="4602AD90" w:rsidR="00652D3A" w:rsidRPr="004C0C68" w:rsidRDefault="00652D3A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espués del desayuno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iniciará un recorrido por los templos más importantes de la ciudad. La primera visita será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mundo, una impresionante imagen de casi cinco metros de altura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grandes y antiguos de Bangkok, famoso por su Buda reclinado de 46 metros cubierto en oro y sus tradicionales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continúa hacia el Gran Palacio, antigua residencia de la familia real durante más de 150 años. Dentro del complejo se encuentra el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C0C68"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7EB36213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EC43B3"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Chiang Rai </w:t>
      </w:r>
      <w:r w:rsidR="00260689" w:rsidRPr="00260689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23BA1769" w14:textId="77777777" w:rsidR="00652D3A" w:rsidRDefault="00260689" w:rsidP="00652D3A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tomar el vuelo hacia Chiang Rai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(vuelo incluido)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llegada, visita a la plantación de té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ubicada entre colinas, donde se puede disfrutar de bebidas y productos derivados del té (consumo por cuenta propia), además de almuerzo en restaurante local cercano.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Seguiremos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museo del opio y posteriormente hacia el área de Mae Chan, donde se realizará una caminata para visitar aldeas de las tribus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Yao.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finaliza en una aldea Karen, donde se conocerá a esta comunidad montañera, incluyendo el subgrupo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Kayan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conocido por la tradición cultural de las “mujeres de cuello largo”.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 finalizar, regreso al hotel.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260689">
        <w:rPr>
          <w:lang w:val="es-MX" w:eastAsia="es-MX"/>
        </w:rPr>
        <w:t>.</w:t>
      </w:r>
    </w:p>
    <w:p w14:paraId="4A1D78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69EA448C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EC43B3">
        <w:rPr>
          <w:rStyle w:val="DanmeroCar"/>
          <w:bCs/>
          <w:sz w:val="24"/>
          <w:szCs w:val="24"/>
        </w:rPr>
        <w:t>12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Rai – Chiang Mai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42E8F22C" w:rsidR="00652D3A" w:rsidRPr="004C0C68" w:rsidRDefault="00A40AE6" w:rsidP="00652D3A">
      <w:pPr>
        <w:tabs>
          <w:tab w:val="left" w:pos="1418"/>
        </w:tabs>
        <w:ind w:right="-142"/>
        <w:jc w:val="both"/>
        <w:rPr>
          <w:b/>
          <w:lang w:val="es-MX" w:eastAsia="es-MX"/>
        </w:rPr>
      </w:pP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en el hotel.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paseo en bote tradicional por el río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visitando comunidades Karen que viven en casas de bambú en la selva.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Continuaremos hacia e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 Templo Azul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Tean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famoso por su intenso color azul y diseño moderno, y posteriormente al icónico Templo Blanco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una de las obras más emblemáticas de Tailandia.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las visitas, traslado por carretera hacia Chiang Mai (aprox. 3 horas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camino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). Llegada y almuerzo en restaurante local.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templo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cima de una colina con vistas panorámicas de la ciudad, uno de los templos más importantes del norte de Tailandia.</w:t>
      </w:r>
      <w:r w:rsidR="00652D3A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A40AE6">
        <w:rPr>
          <w:b/>
          <w:lang w:val="es-MX" w:eastAsia="es-MX"/>
        </w:rPr>
        <w:t>.</w:t>
      </w:r>
    </w:p>
    <w:p w14:paraId="03327CC3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7E3B7F13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EC43B3">
        <w:rPr>
          <w:rStyle w:val="DanmeroCar"/>
          <w:bCs/>
          <w:sz w:val="24"/>
          <w:szCs w:val="24"/>
        </w:rPr>
        <w:t>13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Mai</w:t>
      </w:r>
    </w:p>
    <w:p w14:paraId="7E9FB940" w14:textId="77777777" w:rsidR="00494557" w:rsidRDefault="00652D3A" w:rsidP="0077546E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Inicio del día con visita a talleres artesanales locales, incluyendo una fábrica de tallado en madera con posibilidad de adquirir piezas y antigüedades birmanas.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Después iremos h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acia el valle de Mae Sa para visitar una granja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de orquídeas, rodeada de naturaleza.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 Por la tarde, visita al santuario de elefantes, donde se aprenderá sobre su cuidado y bienestar, además de participar en actividades como alimentarlos y bañarlos.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noche, cena tradicional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incluida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Regreso al hotel y 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652D3A">
        <w:rPr>
          <w:lang w:val="es-MX" w:eastAsia="es-MX"/>
        </w:rPr>
        <w:t>.</w:t>
      </w:r>
    </w:p>
    <w:p w14:paraId="2C6C5C70" w14:textId="77777777" w:rsidR="00494557" w:rsidRDefault="00494557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0678E87" w14:textId="5C6D990C" w:rsid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 w:rsidR="00EC43B3">
        <w:rPr>
          <w:rStyle w:val="DanmeroCar"/>
          <w:bCs/>
          <w:sz w:val="24"/>
          <w:szCs w:val="24"/>
        </w:rPr>
        <w:t>14</w:t>
      </w:r>
      <w:r>
        <w:rPr>
          <w:rStyle w:val="DanmeroCar"/>
          <w:bCs/>
          <w:sz w:val="24"/>
          <w:szCs w:val="24"/>
        </w:rPr>
        <w:t xml:space="preserve">| </w:t>
      </w:r>
      <w:r>
        <w:rPr>
          <w:rFonts w:asciiTheme="minorHAnsi" w:eastAsia="Arial" w:hAnsiTheme="minorHAnsi" w:cstheme="minorHAnsi"/>
          <w:b/>
          <w:color w:val="FF0000"/>
        </w:rPr>
        <w:t>Chiang Mai – Bangkok</w:t>
      </w:r>
      <w:r w:rsidR="00494557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494557" w:rsidRPr="00494557">
        <w:rPr>
          <w:rFonts w:asciiTheme="minorHAnsi" w:eastAsia="Arial" w:hAnsiTheme="minorHAnsi" w:cstheme="minorHAnsi"/>
          <w:color w:val="002060"/>
        </w:rPr>
        <w:t>(vuelo interno)</w:t>
      </w:r>
    </w:p>
    <w:p w14:paraId="2A83D8FF" w14:textId="5AF1FC43" w:rsidR="0077546E" w:rsidRPr="00494557" w:rsidRDefault="0077546E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Para después trasladarnos al aeropuerto de Chiang Mai y tomar el vuelo hacia Bangkok (vuelo incluido). Traslado de llegada al hotel. Tarde libre. </w:t>
      </w:r>
      <w:r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9455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25306E2" w14:textId="77777777" w:rsidR="0077546E" w:rsidRDefault="0077546E" w:rsidP="0077546E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20FF6AEC" w14:textId="0E4DF713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 w:rsidR="00EC43B3">
        <w:rPr>
          <w:rStyle w:val="DanmeroCar"/>
          <w:bCs/>
          <w:sz w:val="24"/>
          <w:szCs w:val="24"/>
        </w:rPr>
        <w:t>15</w:t>
      </w:r>
      <w:r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Bangkok</w:t>
      </w:r>
    </w:p>
    <w:p w14:paraId="34C16989" w14:textId="0F2DCC34" w:rsidR="0077546E" w:rsidRPr="00F41483" w:rsidRDefault="00F41483" w:rsidP="0077546E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A la hora acordada se realizará el traslado al aeropuerto</w:t>
      </w:r>
      <w:r w:rsidR="0077546E" w:rsidRPr="00F4148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 Fin de los servicios.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164A5D3A" w:rsidR="0077546E" w:rsidRPr="00F41483" w:rsidRDefault="00673455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14 noches de a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lojamiento en hoteles según categoría seleccionada en el programa </w:t>
      </w:r>
    </w:p>
    <w:p w14:paraId="6AE4E195" w14:textId="78A40129" w:rsidR="00EB22E8" w:rsidRPr="00F41483" w:rsidRDefault="00673455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 y 3 cenas (sin bebidas) </w:t>
      </w:r>
    </w:p>
    <w:p w14:paraId="30D0584E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Traslados, visitas y excursiones con guía de habla hispana en servicio compartido.</w:t>
      </w:r>
    </w:p>
    <w:p w14:paraId="43D88506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Tren de Alta Velocidad Beijing – Xi’an (clase turista).</w:t>
      </w:r>
    </w:p>
    <w:p w14:paraId="6474051A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interno Xi’an - Shanghái (clase turista).</w:t>
      </w:r>
    </w:p>
    <w:p w14:paraId="51F4B30D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interno Bangkok - Chiang Rai (clase turista).</w:t>
      </w:r>
    </w:p>
    <w:p w14:paraId="3385D62F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interno Chiang Mai – Bangkok (clase turista).</w:t>
      </w:r>
    </w:p>
    <w:p w14:paraId="3076A876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e impuestos del aeropuerto en China.</w:t>
      </w:r>
    </w:p>
    <w:p w14:paraId="5329731C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 a los sitios de interés durante las visitas y excursiones.</w:t>
      </w:r>
    </w:p>
    <w:p w14:paraId="5D3FEE40" w14:textId="77777777" w:rsidR="00C504F1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1 masaje de pies en Beijing. </w:t>
      </w:r>
    </w:p>
    <w:p w14:paraId="4764D807" w14:textId="6E55663C" w:rsidR="0077546E" w:rsidRPr="00C504F1" w:rsidRDefault="00C504F1" w:rsidP="00C504F1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 maleta documentada de 20 kg en cada vuelo interno</w:t>
      </w:r>
    </w:p>
    <w:p w14:paraId="3EE5E304" w14:textId="77777777" w:rsidR="00C504F1" w:rsidRPr="0077546E" w:rsidRDefault="00C504F1" w:rsidP="00C504F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0649713D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2457B272" w14:textId="77777777" w:rsidR="00C504F1" w:rsidRPr="00C504F1" w:rsidRDefault="00C504F1" w:rsidP="00C504F1">
      <w:pPr>
        <w:pStyle w:val="Sinespaciado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Suplemento para traslado de llegada al aeropuerto Pekín-</w:t>
      </w:r>
      <w:proofErr w:type="spellStart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Daxing</w:t>
      </w:r>
      <w:proofErr w:type="spellEnd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(PKX).</w:t>
      </w:r>
    </w:p>
    <w:p w14:paraId="4A89D25A" w14:textId="77777777" w:rsidR="00C504F1" w:rsidRDefault="00C504F1" w:rsidP="00C504F1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5802CACF" w14:textId="77777777" w:rsidR="00C504F1" w:rsidRDefault="007D254B" w:rsidP="00C504F1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117CB140" w14:textId="77777777" w:rsidR="00C504F1" w:rsidRPr="00C504F1" w:rsidRDefault="00C504F1" w:rsidP="00530C27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BLACKOUT: 11 febrero al 23 de febrero 2026, año Nuevo Chino 2026.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Y del </w:t>
      </w:r>
      <w:r w:rsidRP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29 de enero 2027 al 10 de febrero de 2027 (Año Nuevo Chino 2027)</w:t>
      </w:r>
    </w:p>
    <w:p w14:paraId="06FED6F9" w14:textId="77777777" w:rsidR="00C504F1" w:rsidRPr="00C504F1" w:rsidRDefault="004D0C08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 w:rsidRP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D607A6" w:rsidRP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principalmente suplementos en hoteles y cenas obligatorias (consultar tarifas)</w:t>
      </w:r>
      <w:r w:rsidR="00C504F1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4D4ACCC0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día 1 aplica suplemento traslado de llegada, si se llega desde el Aeropuerto Internacional de Pekín-</w:t>
      </w:r>
      <w:proofErr w:type="spellStart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Daxing</w:t>
      </w:r>
      <w:proofErr w:type="spellEnd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 (PKX), 45 USD por persona.</w:t>
      </w:r>
    </w:p>
    <w:p w14:paraId="2AE90ADB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Si se llega a Beijing entre las 22:00hrs – 8:00hrs pueden tomar taxi hotel - aeropuerto por cuenta propia (en este caso, no hay devolución del traslado ni reembolso del costo del taxi). La otra opción es pagar el suplemento de traslados en privado.</w:t>
      </w:r>
    </w:p>
    <w:p w14:paraId="4ED44EC8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Nuestro corresponsal en destino estará esperando con un letrero el cual tendrá los nombres de los pasajeros y esperará en la puerta de llegada (fuera del salón de recogida de equipajes y el salón de tramites).</w:t>
      </w:r>
    </w:p>
    <w:p w14:paraId="3008F459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El tiempo máximo de espera en el aeropuerto o estación de tren es de 1 hora. Si no localizan al </w:t>
      </w:r>
      <w:proofErr w:type="spellStart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trasladista</w:t>
      </w:r>
      <w:proofErr w:type="spellEnd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local a la puerta de llegada, sugerimos que llamen a primera hora a la oficina o al número de emergencia del proveedor.</w:t>
      </w:r>
    </w:p>
    <w:p w14:paraId="1DE95A71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Día 2, sobre el Palacio Imperial de Beijing el flujo de pasajeros y las entradas son muy limitadas. Si no se visita el Palacio Imperial por tal motivo, esta visita será sustituida por el Templo de Lamas o Paseo por </w:t>
      </w:r>
      <w:proofErr w:type="spellStart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Hutong</w:t>
      </w:r>
      <w:proofErr w:type="spellEnd"/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(uno de los dos) sin que ello suponga ningún reembolso o compensación.</w:t>
      </w:r>
    </w:p>
    <w:p w14:paraId="0A9F4E2B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 4, si se elige la excursión opcional de Beijing – Luoyang – Xi’an el precio adicional por persona que hay que considerar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A2F51D" w14:textId="7777777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Día 6, en el vuelo de Xi’an a Shanghái el equipaje permitido es de 20kg por persona.</w:t>
      </w:r>
    </w:p>
    <w:p w14:paraId="57A3A83B" w14:textId="6DB52D9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 mínima en China: guía local 4 USD aprox. por persona por día, chofer local 2 USD aprox. por persona por día, al maletero del hotel por vez 1 USD aprox. por persona por día y al masajista de pies 4 USD aprox. por persona por día.</w:t>
      </w:r>
    </w:p>
    <w:p w14:paraId="32409E6C" w14:textId="226B25D7" w:rsidR="00C504F1" w:rsidRPr="00C504F1" w:rsidRDefault="00C504F1" w:rsidP="00C504F1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 mínima en Tailandia: 2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Pr="00C504F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aprox. por persona al final del tour</w:t>
      </w:r>
    </w:p>
    <w:p w14:paraId="25E2A7DD" w14:textId="1DC5F54C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036594CF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2E3401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 y China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73D984BE" w:rsid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p w14:paraId="263977EC" w14:textId="06ED5F5D" w:rsidR="00AE1590" w:rsidRPr="00AE1590" w:rsidRDefault="00B42443" w:rsidP="006F5C1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13692369"/>
      <w:r w:rsidRPr="00AE1590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CHINA. OTRAS NACIONALIDADES FAVOR DE CONSULTAR CON EL CONSULADO CORRESPONDIENTE</w:t>
      </w:r>
    </w:p>
    <w:tbl>
      <w:tblPr>
        <w:tblW w:w="75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97"/>
        <w:gridCol w:w="4902"/>
        <w:gridCol w:w="791"/>
      </w:tblGrid>
      <w:tr w:rsidR="00B42443" w:rsidRPr="00B42443" w14:paraId="68449961" w14:textId="77777777" w:rsidTr="00B42443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E7ED5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42443" w:rsidRPr="00B42443" w14:paraId="069D5D2B" w14:textId="77777777" w:rsidTr="00B42443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CFC93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2612E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4902" w:type="dxa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6EA0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C8027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42443" w:rsidRPr="00B42443" w14:paraId="59B01A55" w14:textId="77777777" w:rsidTr="00B42443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BFDFB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B6B57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1A452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9D51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4028C3BF" w14:textId="77777777" w:rsidTr="00B42443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F2650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DB96F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FA027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FE74A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03BC031C" w14:textId="77777777" w:rsidTr="00B42443">
        <w:trPr>
          <w:trHeight w:val="2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A4343" w14:textId="28F1A19D" w:rsidR="00B42443" w:rsidRPr="00B42443" w:rsidRDefault="00DC109D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3491E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8CD68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CC986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75AE6FAC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FEC16" w14:textId="09B243E7" w:rsidR="00B42443" w:rsidRPr="00B42443" w:rsidRDefault="00AE1590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0FA8E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90F5F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HILTON GARDEN INN BANGKOK SILOM / MANDARIN BANGKOK BY CENTRE POINT 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F9E08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B42443" w:rsidRPr="00B42443" w14:paraId="53DE0CF1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005C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B266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1B8E3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MONTIEN SURAWONG / PULLMAN BANGKOK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EC16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7C0D8FA0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5DCF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8305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95931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 BANGKOK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F88BD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B42443" w:rsidRPr="00B42443" w14:paraId="3F51C2DD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BEC9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FC28F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RAI</w:t>
            </w: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7A4CA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HERITAGE / LEGEND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9C61A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B42443" w:rsidRPr="00B42443" w14:paraId="41851A03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7605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8093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24A50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RIVERIE BY KATATHANI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9C0C5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2C97AE07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B3C4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3568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18A08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 MERIDIEN 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9380A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B42443" w:rsidRPr="00B42443" w14:paraId="62FE1853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C069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532E8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CHIANG MAI</w:t>
            </w: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ED1A4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NOVOTEL NIMMAN / TRAVELODGE NIMMAN 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D2E83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B42443" w:rsidRPr="00B42443" w14:paraId="77F1D220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25F5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00DE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F2ED2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MELIA / BELLA NARA</w:t>
            </w:r>
          </w:p>
        </w:tc>
        <w:tc>
          <w:tcPr>
            <w:tcW w:w="791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416F7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B42443" w:rsidRPr="00B42443" w14:paraId="327044B3" w14:textId="77777777" w:rsidTr="00B42443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1202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9E48" w14:textId="77777777" w:rsidR="00B42443" w:rsidRPr="00B42443" w:rsidRDefault="00B42443" w:rsidP="00B4244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9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71BE7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SHANGRI-LA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64E8E" w14:textId="77777777" w:rsidR="00B42443" w:rsidRPr="00B42443" w:rsidRDefault="00B42443" w:rsidP="00B424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4244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3DFFE00B" w14:textId="1AA98B0C" w:rsidR="00AE1590" w:rsidRDefault="00AE1590" w:rsidP="00AE159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19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1321"/>
        <w:gridCol w:w="839"/>
      </w:tblGrid>
      <w:tr w:rsidR="00AE1590" w:rsidRPr="00AE1590" w14:paraId="59066615" w14:textId="77777777" w:rsidTr="00AE1590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1340B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</w:t>
            </w:r>
            <w:bookmarkStart w:id="2" w:name="_GoBack"/>
            <w:bookmarkEnd w:id="2"/>
            <w:r w:rsidRPr="00AE159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 USD POR PERSONA (MINIMO 2 PERSONAS)</w:t>
            </w:r>
          </w:p>
        </w:tc>
      </w:tr>
      <w:tr w:rsidR="00AE1590" w:rsidRPr="00AE1590" w14:paraId="0A78569F" w14:textId="77777777" w:rsidTr="00AE1590">
        <w:trPr>
          <w:trHeight w:val="25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71688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AE1590" w:rsidRPr="00AE1590" w14:paraId="612D2CC7" w14:textId="77777777" w:rsidTr="00AE1590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FC4DD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ABR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0277B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76151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E1590" w:rsidRPr="00AE1590" w14:paraId="4A1ACDCB" w14:textId="77777777" w:rsidTr="00AE1590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BABA8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50BF2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81A6D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4960</w:t>
            </w:r>
          </w:p>
        </w:tc>
      </w:tr>
      <w:tr w:rsidR="00AE1590" w:rsidRPr="00AE1590" w14:paraId="14449140" w14:textId="77777777" w:rsidTr="00AE1590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5CAE1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4BCF4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1C4B7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5760</w:t>
            </w:r>
          </w:p>
        </w:tc>
      </w:tr>
      <w:tr w:rsidR="00AE1590" w:rsidRPr="00AE1590" w14:paraId="4C40E8D5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05F7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293AB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4660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7F724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5530</w:t>
            </w:r>
          </w:p>
        </w:tc>
      </w:tr>
      <w:tr w:rsidR="00AE1590" w:rsidRPr="00AE1590" w14:paraId="5990F44B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11B87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9F651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B4709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E1590" w:rsidRPr="00AE1590" w14:paraId="2322D239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8BACA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28D2E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F0795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5090</w:t>
            </w:r>
          </w:p>
        </w:tc>
      </w:tr>
      <w:tr w:rsidR="00AE1590" w:rsidRPr="00AE1590" w14:paraId="5CD49C84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78830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044C0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A2CC7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5870</w:t>
            </w:r>
          </w:p>
        </w:tc>
      </w:tr>
      <w:tr w:rsidR="00AE1590" w:rsidRPr="00AE1590" w14:paraId="3B74DA43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56611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SUPERIOR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98C85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4690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084D5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7180</w:t>
            </w:r>
          </w:p>
        </w:tc>
      </w:tr>
      <w:tr w:rsidR="00AE1590" w:rsidRPr="00AE1590" w14:paraId="0F380F39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611FC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DEL 20 DIC AL 31 DIC 2026 / DEL 03 ENE AL 07 ENE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CBB9F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6C31E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AE1590" w:rsidRPr="00AE1590" w14:paraId="79DE14B9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CAF75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40CB9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8DA5E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5720</w:t>
            </w:r>
          </w:p>
        </w:tc>
      </w:tr>
      <w:tr w:rsidR="00AE1590" w:rsidRPr="00AE1590" w14:paraId="4D8C5AD4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DEF79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8CEF3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7F985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6580</w:t>
            </w:r>
          </w:p>
        </w:tc>
      </w:tr>
      <w:tr w:rsidR="00AE1590" w:rsidRPr="00AE1590" w14:paraId="163A7A7B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545FE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SUPERIOR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AE5FC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5370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5BDAD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sz w:val="20"/>
                <w:szCs w:val="20"/>
                <w:lang w:val="es-MX" w:eastAsia="es-MX"/>
              </w:rPr>
              <w:t>8090</w:t>
            </w:r>
          </w:p>
        </w:tc>
      </w:tr>
      <w:tr w:rsidR="00AE1590" w:rsidRPr="00AE1590" w14:paraId="3A16BE51" w14:textId="77777777" w:rsidTr="00AE1590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971FC" w14:textId="693D5579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AE15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AE159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AE1590" w:rsidRPr="00AE1590" w14:paraId="51727285" w14:textId="77777777" w:rsidTr="00AE1590">
        <w:trPr>
          <w:trHeight w:val="31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073D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E1590" w:rsidRPr="00AE1590" w14:paraId="546306AD" w14:textId="77777777" w:rsidTr="00AE1590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3D79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E1590" w:rsidRPr="00AE1590" w14:paraId="0F78C501" w14:textId="77777777" w:rsidTr="00AE1590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3EBC4" w14:textId="77777777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484A280" w14:textId="0F4A5059" w:rsidR="00AE1590" w:rsidRDefault="00AE1590" w:rsidP="00B4244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0F92A12" wp14:editId="028B3503">
            <wp:simplePos x="0" y="0"/>
            <wp:positionH relativeFrom="page">
              <wp:align>center</wp:align>
            </wp:positionH>
            <wp:positionV relativeFrom="paragraph">
              <wp:posOffset>142875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6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4"/>
        <w:gridCol w:w="507"/>
      </w:tblGrid>
      <w:tr w:rsidR="00AE1590" w:rsidRPr="00AE1590" w14:paraId="0BC6EA07" w14:textId="77777777" w:rsidTr="00AE1590">
        <w:trPr>
          <w:trHeight w:val="20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D3AD6" w14:textId="6AE7A72B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, MÍNIMO 2 PAXS</w:t>
            </w:r>
            <w:r w:rsidRPr="00AE159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E1590" w:rsidRPr="00AE1590" w14:paraId="282DD297" w14:textId="77777777" w:rsidTr="00AE1590">
        <w:trPr>
          <w:trHeight w:val="20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CD08D" w14:textId="1A6E3C85" w:rsidR="00AE1590" w:rsidRPr="00AE1590" w:rsidRDefault="00AE1590" w:rsidP="00AE1590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SANTUARIO DE ELEFANTES PATARA, CHIANG MAI CON GUÍA EN INGLÉS - OPCIONAL DIA 8 </w:t>
            </w: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Esta excursión sustituye a las actividades del </w:t>
            </w:r>
            <w:proofErr w:type="spellStart"/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9B267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  <w:tr w:rsidR="00AE1590" w:rsidRPr="00AE1590" w14:paraId="7E8BF37B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B50A" w14:textId="3568AF0C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A CAMPAMENTO TRADICIONAL DE ELEFANTES CON GUÍA EN ESPAÑOL - OPCIONAL DIA 8 </w:t>
            </w: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Esta excursión sustituye a las actividades del </w:t>
            </w:r>
            <w:proofErr w:type="spellStart"/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1ED5D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AE1590" w:rsidRPr="00AE1590" w14:paraId="2FFD6F9F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8B429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opcional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47A1D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AE1590" w:rsidRPr="00AE1590" w14:paraId="5F19094F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FEC5F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BC88A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AE1590" w:rsidRPr="00AE1590" w14:paraId="719A334C" w14:textId="77777777" w:rsidTr="00AE1590">
        <w:trPr>
          <w:trHeight w:val="20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6F7DC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FAA6E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AE1590" w:rsidRPr="00AE1590" w14:paraId="41B588AC" w14:textId="77777777" w:rsidTr="00AE1590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ED5D5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E2386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AE1590" w:rsidRPr="00AE1590" w14:paraId="3AE3C122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902C7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en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C7365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AE1590" w:rsidRPr="00AE1590" w14:paraId="0CF046C5" w14:textId="77777777" w:rsidTr="00AE1590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50E37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dinastia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Tang (actividad en Xi'an)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F3E27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AE1590" w:rsidRPr="00AE1590" w14:paraId="0DFF9BBD" w14:textId="77777777" w:rsidTr="00AE1590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7BCEB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pro el rio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77CE9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AE1590" w:rsidRPr="00AE1590" w14:paraId="0B649F47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651C4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9734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AE1590" w:rsidRPr="00AE1590" w14:paraId="0A8EB79F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F2429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B09AB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E1590" w:rsidRPr="00AE1590" w14:paraId="39B27289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701B7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salen de Shanghái antes de las 09:30am o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despues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24:00hrs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990BE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AE1590" w:rsidRPr="00AE1590" w14:paraId="4EC7FF22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0BD60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DC9EB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AE1590" w:rsidRPr="00AE1590" w14:paraId="1393D481" w14:textId="77777777" w:rsidTr="00AE1590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38F1F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68BF3" w14:textId="77777777" w:rsidR="00AE1590" w:rsidRPr="00AE1590" w:rsidRDefault="00AE1590" w:rsidP="00AE159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AE1590" w:rsidRPr="00AE1590" w14:paraId="6517DC0F" w14:textId="77777777" w:rsidTr="00AE1590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C0992" w14:textId="77777777" w:rsidR="00AE1590" w:rsidRPr="00AE1590" w:rsidRDefault="00AE1590" w:rsidP="00AE159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hotel - Disney: El guía en español les ayudará a cambiar la entrada con pasaporte de los </w:t>
            </w:r>
            <w:proofErr w:type="spellStart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AE159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cuando lleguen al parque de diversiones</w:t>
            </w:r>
          </w:p>
        </w:tc>
      </w:tr>
      <w:tr w:rsidR="00AE1590" w:rsidRPr="00AE1590" w14:paraId="53FAD9CC" w14:textId="77777777" w:rsidTr="00AE1590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right w:val="single" w:sz="6" w:space="0" w:color="000000"/>
            </w:tcBorders>
            <w:vAlign w:val="center"/>
            <w:hideMark/>
          </w:tcPr>
          <w:p w14:paraId="5F622A3A" w14:textId="77777777" w:rsidR="00AE1590" w:rsidRPr="00AE1590" w:rsidRDefault="00AE1590" w:rsidP="00AE159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bookmarkEnd w:id="1"/>
    </w:tbl>
    <w:p w14:paraId="66576496" w14:textId="7C2C2F64" w:rsidR="00AE1590" w:rsidRDefault="00AE1590" w:rsidP="00B42443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AE1590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E91D" w14:textId="77777777" w:rsidR="000864F8" w:rsidRDefault="000864F8" w:rsidP="000D4B74">
      <w:r>
        <w:separator/>
      </w:r>
    </w:p>
  </w:endnote>
  <w:endnote w:type="continuationSeparator" w:id="0">
    <w:p w14:paraId="3840080C" w14:textId="77777777" w:rsidR="000864F8" w:rsidRDefault="000864F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99DDC" w14:textId="77777777" w:rsidR="000864F8" w:rsidRDefault="000864F8" w:rsidP="000D4B74">
      <w:r>
        <w:separator/>
      </w:r>
    </w:p>
  </w:footnote>
  <w:footnote w:type="continuationSeparator" w:id="0">
    <w:p w14:paraId="096D8836" w14:textId="77777777" w:rsidR="000864F8" w:rsidRDefault="000864F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55B3786F" w:rsidR="009C6818" w:rsidRDefault="00EE58E4" w:rsidP="00EE58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1D99A824" wp14:editId="43B30D15">
          <wp:simplePos x="0" y="0"/>
          <wp:positionH relativeFrom="column">
            <wp:posOffset>3841750</wp:posOffset>
          </wp:positionH>
          <wp:positionV relativeFrom="paragraph">
            <wp:posOffset>233680</wp:posOffset>
          </wp:positionV>
          <wp:extent cx="1016000" cy="6756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6C32B07B" w:rsidR="009A7BDC" w:rsidRDefault="00EE58E4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DEL DRAGÓN: CHINA Y </w:t>
                          </w:r>
                          <w:r w:rsidR="00F93DD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</w:t>
                          </w:r>
                        </w:p>
                        <w:p w14:paraId="041A546C" w14:textId="2A298852" w:rsidR="00983E4D" w:rsidRPr="00983E4D" w:rsidRDefault="00EE58E4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2537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6C32B07B" w:rsidR="009A7BDC" w:rsidRDefault="00EE58E4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DEL DRAGÓN: CHINA Y </w:t>
                    </w:r>
                    <w:r w:rsidR="00F93DD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</w:t>
                    </w:r>
                  </w:p>
                  <w:p w14:paraId="041A546C" w14:textId="2A298852" w:rsidR="00983E4D" w:rsidRPr="00983E4D" w:rsidRDefault="00EE58E4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2537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8"/>
      </v:shape>
    </w:pict>
  </w:numPicBullet>
  <w:numPicBullet w:numPicBulletId="1">
    <w:pict>
      <v:shape id="_x0000_i1045" type="#_x0000_t75" style="width:927.75pt;height:1200pt" o:bullet="t">
        <v:imagedata r:id="rId2" o:title="peligro"/>
      </v:shape>
    </w:pict>
  </w:numPicBullet>
  <w:abstractNum w:abstractNumId="0" w15:restartNumberingAfterBreak="0">
    <w:nsid w:val="039A4F78"/>
    <w:multiLevelType w:val="hybridMultilevel"/>
    <w:tmpl w:val="F1420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4AB9"/>
    <w:multiLevelType w:val="multilevel"/>
    <w:tmpl w:val="DAA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F4FE5"/>
    <w:multiLevelType w:val="hybridMultilevel"/>
    <w:tmpl w:val="25A4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2"/>
  </w:num>
  <w:num w:numId="5">
    <w:abstractNumId w:val="6"/>
  </w:num>
  <w:num w:numId="6">
    <w:abstractNumId w:val="26"/>
  </w:num>
  <w:num w:numId="7">
    <w:abstractNumId w:val="1"/>
  </w:num>
  <w:num w:numId="8">
    <w:abstractNumId w:val="19"/>
  </w:num>
  <w:num w:numId="9">
    <w:abstractNumId w:val="20"/>
  </w:num>
  <w:num w:numId="10">
    <w:abstractNumId w:val="4"/>
  </w:num>
  <w:num w:numId="11">
    <w:abstractNumId w:val="3"/>
  </w:num>
  <w:num w:numId="12">
    <w:abstractNumId w:val="28"/>
  </w:num>
  <w:num w:numId="13">
    <w:abstractNumId w:val="18"/>
  </w:num>
  <w:num w:numId="14">
    <w:abstractNumId w:val="18"/>
  </w:num>
  <w:num w:numId="15">
    <w:abstractNumId w:val="30"/>
  </w:num>
  <w:num w:numId="16">
    <w:abstractNumId w:val="15"/>
  </w:num>
  <w:num w:numId="17">
    <w:abstractNumId w:val="5"/>
  </w:num>
  <w:num w:numId="18">
    <w:abstractNumId w:val="29"/>
  </w:num>
  <w:num w:numId="19">
    <w:abstractNumId w:val="27"/>
  </w:num>
  <w:num w:numId="20">
    <w:abstractNumId w:val="25"/>
  </w:num>
  <w:num w:numId="21">
    <w:abstractNumId w:val="21"/>
  </w:num>
  <w:num w:numId="22">
    <w:abstractNumId w:val="7"/>
  </w:num>
  <w:num w:numId="23">
    <w:abstractNumId w:val="31"/>
  </w:num>
  <w:num w:numId="24">
    <w:abstractNumId w:val="16"/>
  </w:num>
  <w:num w:numId="25">
    <w:abstractNumId w:val="23"/>
  </w:num>
  <w:num w:numId="26">
    <w:abstractNumId w:val="33"/>
  </w:num>
  <w:num w:numId="27">
    <w:abstractNumId w:val="8"/>
  </w:num>
  <w:num w:numId="28">
    <w:abstractNumId w:val="11"/>
  </w:num>
  <w:num w:numId="29">
    <w:abstractNumId w:val="22"/>
  </w:num>
  <w:num w:numId="30">
    <w:abstractNumId w:val="13"/>
  </w:num>
  <w:num w:numId="31">
    <w:abstractNumId w:val="14"/>
  </w:num>
  <w:num w:numId="32">
    <w:abstractNumId w:val="32"/>
  </w:num>
  <w:num w:numId="33">
    <w:abstractNumId w:val="0"/>
  </w:num>
  <w:num w:numId="34">
    <w:abstractNumId w:val="2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864F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3401"/>
    <w:rsid w:val="002E4C5F"/>
    <w:rsid w:val="002F131B"/>
    <w:rsid w:val="002F132F"/>
    <w:rsid w:val="002F21EE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00A5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35FEF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3532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71FF6"/>
    <w:rsid w:val="006724BA"/>
    <w:rsid w:val="00673455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579C0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77CF6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1590"/>
    <w:rsid w:val="00AE3888"/>
    <w:rsid w:val="00AE582B"/>
    <w:rsid w:val="00AF0A86"/>
    <w:rsid w:val="00B040DA"/>
    <w:rsid w:val="00B16DFE"/>
    <w:rsid w:val="00B1776F"/>
    <w:rsid w:val="00B27F32"/>
    <w:rsid w:val="00B3014C"/>
    <w:rsid w:val="00B42443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A0037"/>
    <w:rsid w:val="00BB3F82"/>
    <w:rsid w:val="00BC1D67"/>
    <w:rsid w:val="00BC7DBE"/>
    <w:rsid w:val="00BD16B0"/>
    <w:rsid w:val="00BD7920"/>
    <w:rsid w:val="00BE2C65"/>
    <w:rsid w:val="00BE486C"/>
    <w:rsid w:val="00BF20DD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04F1"/>
    <w:rsid w:val="00C52EC3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5EC0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109D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43B3"/>
    <w:rsid w:val="00EC504E"/>
    <w:rsid w:val="00EC63E4"/>
    <w:rsid w:val="00EC7741"/>
    <w:rsid w:val="00ED1AC6"/>
    <w:rsid w:val="00ED6C3C"/>
    <w:rsid w:val="00ED6D21"/>
    <w:rsid w:val="00ED7C08"/>
    <w:rsid w:val="00EE4633"/>
    <w:rsid w:val="00EE58E4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BA0037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1A5D-64AE-4756-BF9E-C5600C44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5</Pages>
  <Words>2059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28</cp:revision>
  <dcterms:created xsi:type="dcterms:W3CDTF">2026-05-15T01:43:00Z</dcterms:created>
  <dcterms:modified xsi:type="dcterms:W3CDTF">2026-05-15T19:58:00Z</dcterms:modified>
</cp:coreProperties>
</file>