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Ottawa, Quebec, 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B564B1" w:rsidRPr="00DE7D94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</w:t>
      </w:r>
    </w:p>
    <w:p w:rsidR="00B564B1" w:rsidRPr="00DE7D94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lunes (una salida en jueves)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12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B564B1" w:rsidRPr="00DE7D94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Pr="00BD0EA5" w:rsidRDefault="00B564B1" w:rsidP="00B564B1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B564B1" w:rsidRPr="004B442F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AA04FE">
        <w:rPr>
          <w:rFonts w:asciiTheme="minorHAnsi" w:eastAsia="Arial" w:hAnsiTheme="minorHAnsi" w:cstheme="minorHAnsi"/>
          <w:color w:val="002060"/>
          <w:sz w:val="20"/>
        </w:rPr>
        <w:t>Llegada al aeropuerto de Toronto, recepción y traslado a nuestro céntrico hotel.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Tiempo libre, aconsejamos visitar el barrio del </w:t>
      </w:r>
      <w:proofErr w:type="spellStart"/>
      <w:r w:rsidRPr="00AA04FE">
        <w:rPr>
          <w:rFonts w:asciiTheme="minorHAnsi" w:eastAsia="Arial" w:hAnsiTheme="minorHAnsi" w:cstheme="minorHAnsi"/>
          <w:color w:val="002060"/>
          <w:sz w:val="20"/>
        </w:rPr>
        <w:t>Entertainment</w:t>
      </w:r>
      <w:proofErr w:type="spellEnd"/>
      <w:r w:rsidRPr="00AA04FE">
        <w:rPr>
          <w:rFonts w:asciiTheme="minorHAnsi" w:eastAsia="Arial" w:hAnsiTheme="minorHAnsi" w:cstheme="minorHAnsi"/>
          <w:color w:val="002060"/>
          <w:sz w:val="20"/>
        </w:rPr>
        <w:t>, entre las calles King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>y Queen que en este momento es el lugar de esparcimiento nocturno más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dinámico en Toronto y el lujoso barrio de </w:t>
      </w:r>
      <w:proofErr w:type="spellStart"/>
      <w:r w:rsidRPr="00AA04FE">
        <w:rPr>
          <w:rFonts w:asciiTheme="minorHAnsi" w:eastAsia="Arial" w:hAnsiTheme="minorHAnsi" w:cstheme="minorHAnsi"/>
          <w:color w:val="002060"/>
          <w:sz w:val="20"/>
        </w:rPr>
        <w:t>Yorkville</w:t>
      </w:r>
      <w:proofErr w:type="spellEnd"/>
      <w:r w:rsidRPr="00AA04FE">
        <w:rPr>
          <w:rFonts w:asciiTheme="minorHAnsi" w:eastAsia="Arial" w:hAnsiTheme="minorHAnsi" w:cstheme="minorHAnsi"/>
          <w:color w:val="002060"/>
          <w:sz w:val="20"/>
        </w:rPr>
        <w:t xml:space="preserve"> en donde están las boutiques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AA04FE">
        <w:rPr>
          <w:rFonts w:asciiTheme="minorHAnsi" w:eastAsia="Arial" w:hAnsiTheme="minorHAnsi" w:cstheme="minorHAnsi"/>
          <w:color w:val="002060"/>
          <w:sz w:val="20"/>
        </w:rPr>
        <w:t>de lujo, o el Puerto de Toronto que adquiere particular vida por la tarde</w:t>
      </w:r>
      <w:r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B564B1" w:rsidRPr="00BD0EA5" w:rsidRDefault="00B564B1" w:rsidP="00B564B1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B564B1" w:rsidRPr="00656FC6" w:rsidRDefault="00B564B1" w:rsidP="00B564B1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 – Niágara</w:t>
      </w:r>
    </w:p>
    <w:p w:rsidR="00B564B1" w:rsidRPr="00AA04FE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Visita de esta ciudad, la mayor de Canadá y capital de la provincia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Ontario: el centro financiero, el antiguo y nuevo Ayuntamiento, la avenida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hospitales más importantes e instituciones tradicionales,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Parlamento provincial, el distinguido barrio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tiendas elegantes,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barrio chino - segundo en importancia de Canadá - Parada fotográfica para admirar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a la Torre CN, la estructura independiente más alta del hemisferio occidental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sus orgullosos 553.33 metros y que es visitada por más de 2 millones de personas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cada año. Salida para Niágara-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on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the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-Lake, llamado el pueblo más bonito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 que fue capital del Alto Canadá a partir de 1792 y que en sus orígenes fue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poblado por colonos americanos. Haremos una parada para recorrer la calle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principal. Continuación a Niágara por el camino panorámico que bordea el río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mismo nombre. Allí nos esperan las majestuosas y famosas cataratas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deslumbrarán con su impresionante caudal de agua y que son una de las mayores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atracciones en Norteamérica. </w:t>
      </w:r>
      <w:r w:rsidRPr="00AA04FE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libre.</w:t>
      </w:r>
      <w:r w:rsidRPr="00AA04FE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¡¡Aventura en el barco </w:t>
      </w:r>
      <w:proofErr w:type="spellStart"/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>Hornblower</w:t>
      </w:r>
      <w:proofErr w:type="spellEnd"/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!!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Parada en el Table Rock para observar estas maravillosas cataratas.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Llegada a nuestro hotel en Niágara Falls. En su tiempo libre sugerimos un paseo en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Helicóptero (según condiciones climáticas) o por la noche visitar las cataratas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iluminadas.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B564B1" w:rsidRPr="00DE7D94" w:rsidRDefault="00B564B1" w:rsidP="00B564B1">
      <w:pPr>
        <w:pStyle w:val="Destinos"/>
      </w:pPr>
    </w:p>
    <w:p w:rsidR="00B564B1" w:rsidRPr="00BD0EA5" w:rsidRDefault="00B564B1" w:rsidP="00B564B1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Salida temprana por la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autorruta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Transcanadiense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hacia Ottawa.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región de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1000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es una de las más hermosas y románticas del país en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tomaremos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una excursión de una hora en barco para admirar estas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y sus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mansiones y curiosidades en el nacimiento del río San Lorenzo. Continuación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capital del País que sorprenderá por su bella arquitectura y geografía en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margen del Río Ottawa. Al llegar, comenzaremos la visita panorámica de la ciudad,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Catedral, la residencia del primer ministro, del Gobernador-General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representa a la Reina Elizabeth II, el Canal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bordeado de hermosas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mansiones y jardines con flores multicolores. En el caso que la visita no sea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terminada, será completada al día siguiente.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B564B1" w:rsidRPr="006D72E8" w:rsidRDefault="00B564B1" w:rsidP="00B564B1">
      <w:pPr>
        <w:pStyle w:val="textos-itinerario"/>
        <w:spacing w:after="0"/>
        <w:rPr>
          <w:b/>
        </w:rPr>
      </w:pPr>
    </w:p>
    <w:p w:rsidR="00B564B1" w:rsidRPr="00BD0EA5" w:rsidRDefault="00B564B1" w:rsidP="00B564B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Ottawa – Cabaña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Chez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Dany – Quebec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Salida hacia la capital de la provincia homónima, Quebec. Hoy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atravesaremos el río Ottawa para llegar a la Provincia de Quebec y hacia los montes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Laurentinos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>, plenos de lagos y montes que son el paraíso de las actividades 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exterior. En camino visitaremos una plantación de arces en donde se produce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miel de Arce con métodos tradicionales y en donde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tendremos un almuerzo típico de leñadores incluido.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Continuación hacia Quebec. Al llegar comenzaremos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visita Panorámica de la ciudad más antigua del país, la ciudad amurallada, la parte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alta y baja, la Plaza de Armas, la Plaza Royal, el Parlamento de la provincia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B564B1" w:rsidRDefault="00B564B1" w:rsidP="00B564B1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B564B1" w:rsidRPr="00BD0EA5" w:rsidRDefault="00B564B1" w:rsidP="00B564B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5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Dia libre.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>Aconsejamos una excursión opcional con costo</w:t>
      </w:r>
      <w:r w:rsidRPr="00656FC6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en la que podrá conocer la encantadora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Isla de Orleans, en donde podrá observar la ebullición de estos productores agrícolas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sus bellísimos pueblos, la Costa de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Beaupré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con su camino real y sus antiguas casas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rurales, el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magnífico </w:t>
      </w:r>
      <w:proofErr w:type="spellStart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Canyon</w:t>
      </w:r>
      <w:proofErr w:type="spellEnd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 Santa Ana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que con su bella cascada en un decorado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natural. En el camino de regreso, visitaremos la magnífica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basílica </w:t>
      </w:r>
      <w:proofErr w:type="spellStart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Ste</w:t>
      </w:r>
      <w:proofErr w:type="spellEnd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Anne de </w:t>
      </w:r>
      <w:proofErr w:type="spellStart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Beaupre</w:t>
      </w:r>
      <w:proofErr w:type="spellEnd"/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lugar de peregrinaje importante, y las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Cataratas Montmorency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que con sus 83 metros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altura son más altas que el Niagara. Regreso a Quebec City y almuerzo. ¡Una excursión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contrastes que seguramente satisfará a los más exigentes!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B564B1" w:rsidRPr="00BD0EA5" w:rsidRDefault="00B564B1" w:rsidP="00B564B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6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Montreal</w:t>
      </w:r>
    </w:p>
    <w:p w:rsidR="00B564B1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o.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Esta mañana nos dirigimos hacia Montreal, ciudad que se ha hecho un nombre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en el medio de la moda y conocida por su fina gastronomía y vida nocturna. Continuación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hacia Montreal, al llegar, Iniciaremos la visita de esta vibrante ciudad, segunda mayor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urbe de lengua francesa en el mundo: el Complejo Olímpico (parada fotográfica), la calle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B564B1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Pr="00B564B1">
        <w:rPr>
          <w:rFonts w:asciiTheme="minorHAnsi" w:hAnsiTheme="minorHAnsi" w:cstheme="minorHAnsi"/>
          <w:color w:val="002060"/>
          <w:sz w:val="20"/>
          <w:szCs w:val="20"/>
        </w:rPr>
        <w:t>-Laurent, la principal de la ciudad con sus muchos restaurantes con platos del mundo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entero, el barrio de la Milla Cuadrada de Oro de Montreal en donde se encuentra hoy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famosa universidad de McGill, el parque del Monte Real, favorito de los residentes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ciudad , en donde se encuentra el Lago de los castores, y en donde haremos una parada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fotográfica en el mirador de los enamorados. En camino al Viejo Montreal veremos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barrio Le </w:t>
      </w:r>
      <w:proofErr w:type="spellStart"/>
      <w:r w:rsidRPr="00B564B1">
        <w:rPr>
          <w:rFonts w:asciiTheme="minorHAnsi" w:hAnsiTheme="minorHAnsi" w:cstheme="minorHAnsi"/>
          <w:color w:val="002060"/>
          <w:sz w:val="20"/>
          <w:szCs w:val="20"/>
        </w:rPr>
        <w:t>Plateau</w:t>
      </w:r>
      <w:proofErr w:type="spellEnd"/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 Mont Royal que es hoy uno de los más populares. La Plaza de Armas,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testigo de la evolución arquitectónica del lugar con sus edificios de diferentes épocas,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donde se encuentra la Basílica de </w:t>
      </w:r>
      <w:proofErr w:type="spellStart"/>
      <w:r w:rsidRPr="00B564B1">
        <w:rPr>
          <w:rFonts w:asciiTheme="minorHAnsi" w:hAnsiTheme="minorHAnsi" w:cstheme="minorHAnsi"/>
          <w:color w:val="002060"/>
          <w:sz w:val="20"/>
          <w:szCs w:val="20"/>
        </w:rPr>
        <w:t>Notre</w:t>
      </w:r>
      <w:proofErr w:type="spellEnd"/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 Dame de Montreal. La Plaza Cartier y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ayuntamiento de Montreal. Resto del día libre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B564B1" w:rsidRPr="00BD0EA5" w:rsidRDefault="00B564B1" w:rsidP="00B564B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B564B1" w:rsidRPr="00DF3286" w:rsidRDefault="00B564B1" w:rsidP="00B564B1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hAnsiTheme="minorHAnsi" w:cstheme="minorHAnsi"/>
          <w:color w:val="002060"/>
          <w:sz w:val="20"/>
          <w:szCs w:val="20"/>
        </w:rPr>
        <w:t>Ma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ñana dedicada a una visita a pie de Montreal, para descubrir de cerca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ciudad subterránea y la parte vieja de esta metrópolis fascinante. Aprovechamos también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para descubrir un viejo banco de estile Art Deco convertida en un café, el </w:t>
      </w:r>
      <w:proofErr w:type="spellStart"/>
      <w:r w:rsidRPr="00B564B1">
        <w:rPr>
          <w:rFonts w:asciiTheme="minorHAnsi" w:hAnsiTheme="minorHAnsi" w:cstheme="minorHAnsi"/>
          <w:color w:val="002060"/>
          <w:sz w:val="20"/>
          <w:szCs w:val="20"/>
        </w:rPr>
        <w:t>Crew</w:t>
      </w:r>
      <w:proofErr w:type="spellEnd"/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B564B1">
        <w:rPr>
          <w:rFonts w:asciiTheme="minorHAnsi" w:hAnsiTheme="minorHAnsi" w:cstheme="minorHAnsi"/>
          <w:color w:val="002060"/>
          <w:sz w:val="20"/>
          <w:szCs w:val="20"/>
        </w:rPr>
        <w:t>Collective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>and Café (consum</w:t>
      </w:r>
      <w:r>
        <w:rPr>
          <w:rFonts w:asciiTheme="minorHAnsi" w:hAnsiTheme="minorHAnsi" w:cstheme="minorHAnsi"/>
          <w:color w:val="002060"/>
          <w:sz w:val="20"/>
          <w:szCs w:val="20"/>
        </w:rPr>
        <w:t>o</w:t>
      </w:r>
      <w:r w:rsidRPr="00B564B1">
        <w:rPr>
          <w:rFonts w:asciiTheme="minorHAnsi" w:hAnsiTheme="minorHAnsi" w:cstheme="minorHAnsi"/>
          <w:color w:val="002060"/>
          <w:sz w:val="20"/>
          <w:szCs w:val="20"/>
        </w:rPr>
        <w:t xml:space="preserve"> de café o té incluido). Tarde libre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B564B1" w:rsidRDefault="00B564B1" w:rsidP="00B564B1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B564B1" w:rsidRPr="00BD0EA5" w:rsidRDefault="00B564B1" w:rsidP="00B564B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Traslado de llegada y de salida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Alojamiento: 7 noches como mencionado (o similar)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7 desayunos en hotel (según indicado en hoteles)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Guía de habla hispana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Transporte con vehículos según el número de pasajeros</w:t>
      </w:r>
    </w:p>
    <w:p w:rsidR="00B564B1" w:rsidRPr="00656FC6" w:rsidRDefault="00B564B1" w:rsidP="00B564B1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o El guía podrá ser el chofer al mismo tiempo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1 comida:</w:t>
      </w:r>
    </w:p>
    <w:p w:rsidR="00B564B1" w:rsidRPr="00656FC6" w:rsidRDefault="00B564B1" w:rsidP="00B564B1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típico en Cabaña de miel de arce </w:t>
      </w:r>
      <w:proofErr w:type="spellStart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Chez</w:t>
      </w:r>
      <w:proofErr w:type="spellEnd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Dany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Visitas panorámicas en Toronto, Ottawa, Quebec, Montreal</w:t>
      </w:r>
    </w:p>
    <w:p w:rsidR="00B564B1" w:rsidRPr="00656FC6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Actividades:</w:t>
      </w:r>
    </w:p>
    <w:p w:rsidR="00B564B1" w:rsidRPr="00656FC6" w:rsidRDefault="00B564B1" w:rsidP="00B564B1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Paseo en barco </w:t>
      </w:r>
      <w:proofErr w:type="spellStart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</w:t>
      </w:r>
    </w:p>
    <w:p w:rsidR="00B564B1" w:rsidRPr="00656FC6" w:rsidRDefault="00B564B1" w:rsidP="00B564B1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o Paseo en barco 1000 Islas</w:t>
      </w:r>
    </w:p>
    <w:p w:rsidR="00B564B1" w:rsidRDefault="00B564B1" w:rsidP="00B564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56FC6">
        <w:rPr>
          <w:rFonts w:asciiTheme="minorHAnsi" w:eastAsia="Arial" w:hAnsiTheme="minorHAnsi" w:cstheme="minorHAnsi"/>
          <w:color w:val="002060"/>
          <w:sz w:val="20"/>
          <w:szCs w:val="20"/>
        </w:rPr>
        <w:t>Impuestos y cargos de servicios no reembolsables</w:t>
      </w:r>
    </w:p>
    <w:p w:rsidR="00B564B1" w:rsidRPr="00BA37C5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B564B1" w:rsidRPr="0068514F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B564B1" w:rsidRPr="002D3018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D928CB" w:rsidRPr="00C56D58" w:rsidRDefault="00D928CB" w:rsidP="00D928C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B564B1" w:rsidRPr="002D3018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B564B1" w:rsidRPr="002D3018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B564B1" w:rsidRPr="002D3018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B564B1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B564B1" w:rsidRPr="002D3018" w:rsidRDefault="00B564B1" w:rsidP="00B564B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564B1" w:rsidRPr="00D2140A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3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12 a 17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B564B1" w:rsidRPr="002D3018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B564B1" w:rsidRDefault="00B564B1" w:rsidP="00B564B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4437"/>
        <w:gridCol w:w="727"/>
        <w:gridCol w:w="4214"/>
        <w:gridCol w:w="739"/>
      </w:tblGrid>
      <w:tr w:rsidR="00B564B1" w:rsidRPr="00656FC6" w:rsidTr="006B2A16">
        <w:trPr>
          <w:trHeight w:val="239"/>
          <w:jc w:val="center"/>
        </w:trPr>
        <w:tc>
          <w:tcPr>
            <w:tcW w:w="113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CAT B.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bidi="ar-SA"/>
              </w:rPr>
              <w:t>CAT A.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SHERATON CENTRE TORONTO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WYNDHAM GARDEN NIAGARA FALLS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WYNDHAM GRAND FALLSVIEW HOTEL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lang w:bidi="ar-SA"/>
              </w:rPr>
              <w:t>OTTAWA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656FC6">
              <w:rPr>
                <w:rFonts w:ascii="Aptos Narrow" w:hAnsi="Aptos Narrow"/>
                <w:color w:val="000000"/>
                <w:lang w:val="en-US" w:bidi="ar-SA"/>
              </w:rPr>
              <w:t>OTTAWA EMBASSY HOTEL AND SUITES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LORD ELGIN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QUEBEC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HOTEL PUR QUÉBEC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56FC6">
              <w:rPr>
                <w:rFonts w:ascii="Aptos Narrow" w:hAnsi="Aptos Narrow"/>
                <w:lang w:bidi="ar-SA"/>
              </w:rPr>
              <w:t>HILTON QUEBEC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B564B1" w:rsidRPr="00656FC6" w:rsidTr="006B2A16">
        <w:trPr>
          <w:trHeight w:val="239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lang w:bidi="ar-SA"/>
              </w:rPr>
              <w:t>MONTREAL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HAMPTON INN MONTREAL DOWNTOWN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color w:val="000000"/>
                <w:lang w:bidi="ar-SA"/>
              </w:rPr>
              <w:t>FAIRMONT QUEEN ELIZABETH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B564B1" w:rsidRPr="00B564B1" w:rsidTr="006B2A16">
        <w:trPr>
          <w:trHeight w:val="239"/>
          <w:jc w:val="center"/>
        </w:trPr>
        <w:tc>
          <w:tcPr>
            <w:tcW w:w="11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B564B1" w:rsidRPr="00656FC6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B564B1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4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975"/>
      </w:tblGrid>
      <w:tr w:rsidR="00B564B1" w:rsidRPr="00656FC6" w:rsidTr="006B2A16">
        <w:trPr>
          <w:trHeight w:val="268"/>
          <w:jc w:val="center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B564B1" w:rsidRPr="00656FC6" w:rsidTr="006B2A16">
        <w:trPr>
          <w:trHeight w:val="268"/>
          <w:jc w:val="center"/>
        </w:trPr>
        <w:tc>
          <w:tcPr>
            <w:tcW w:w="4965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B564B1" w:rsidRPr="00656FC6" w:rsidTr="006B2A16">
        <w:trPr>
          <w:trHeight w:val="259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4, 11, 25</w:t>
            </w:r>
          </w:p>
        </w:tc>
      </w:tr>
      <w:tr w:rsidR="00B564B1" w:rsidRPr="00656FC6" w:rsidTr="006B2A16">
        <w:trPr>
          <w:trHeight w:val="259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 xml:space="preserve">1, 8, </w:t>
            </w:r>
            <w:r w:rsidRPr="00656FC6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15, 22, 29</w:t>
            </w:r>
          </w:p>
        </w:tc>
      </w:tr>
      <w:tr w:rsidR="00B564B1" w:rsidRPr="00656FC6" w:rsidTr="006B2A16">
        <w:trPr>
          <w:trHeight w:val="259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6, 13, 20,</w:t>
            </w:r>
            <w:r w:rsidRPr="00656FC6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 xml:space="preserve"> 27</w:t>
            </w:r>
          </w:p>
        </w:tc>
      </w:tr>
      <w:tr w:rsidR="00B564B1" w:rsidRPr="00656FC6" w:rsidTr="006B2A16">
        <w:trPr>
          <w:trHeight w:val="268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 xml:space="preserve">3, 6*, </w:t>
            </w:r>
            <w:r w:rsidRPr="00656FC6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10, 17,</w:t>
            </w:r>
            <w:r w:rsidRPr="00656FC6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Pr="00656FC6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24, 31</w:t>
            </w:r>
          </w:p>
        </w:tc>
      </w:tr>
      <w:tr w:rsidR="00B564B1" w:rsidRPr="00656FC6" w:rsidTr="006B2A16">
        <w:trPr>
          <w:trHeight w:val="259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 xml:space="preserve">7, 14, 21, </w:t>
            </w:r>
            <w:r w:rsidRPr="00656FC6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28</w:t>
            </w:r>
          </w:p>
        </w:tc>
      </w:tr>
      <w:tr w:rsidR="00B564B1" w:rsidRPr="00656FC6" w:rsidTr="006B2A16">
        <w:trPr>
          <w:trHeight w:val="259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5, </w:t>
            </w:r>
            <w:r w:rsidRPr="00656FC6">
              <w:rPr>
                <w:rFonts w:ascii="Aptos Narrow" w:hAnsi="Aptos Narrow"/>
                <w:b/>
                <w:bCs/>
                <w:color w:val="000000"/>
                <w:lang w:bidi="ar-SA"/>
              </w:rPr>
              <w:t>12</w:t>
            </w:r>
          </w:p>
        </w:tc>
      </w:tr>
      <w:tr w:rsidR="00B564B1" w:rsidRPr="00656FC6" w:rsidTr="006B2A16">
        <w:trPr>
          <w:trHeight w:val="268"/>
          <w:jc w:val="center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56FC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SALIDA MARCADA CON * EN JUEVES</w:t>
            </w:r>
          </w:p>
        </w:tc>
      </w:tr>
    </w:tbl>
    <w:p w:rsidR="00B564B1" w:rsidRPr="00656FC6" w:rsidRDefault="00B564B1" w:rsidP="00B5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5"/>
        <w:gridCol w:w="745"/>
        <w:gridCol w:w="745"/>
        <w:gridCol w:w="745"/>
        <w:gridCol w:w="745"/>
        <w:gridCol w:w="1080"/>
        <w:gridCol w:w="906"/>
      </w:tblGrid>
      <w:tr w:rsidR="00B564B1" w:rsidRPr="00B564B1" w:rsidTr="00B564B1">
        <w:trPr>
          <w:trHeight w:val="247"/>
          <w:jc w:val="center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8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0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B564B1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1830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1610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1520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1060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830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1900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1660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1560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1060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830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1940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1690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1060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830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0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color w:val="000000"/>
                <w:lang w:bidi="ar-SA"/>
              </w:rPr>
              <w:t>TEMPORADA BAJA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2360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2080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1950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3630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1190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960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2490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2170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2040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3880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1190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960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2520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960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color w:val="196B24"/>
                <w:lang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 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B564B1" w:rsidRPr="00B564B1" w:rsidTr="00B564B1">
        <w:trPr>
          <w:trHeight w:val="268"/>
          <w:jc w:val="center"/>
        </w:trPr>
        <w:tc>
          <w:tcPr>
            <w:tcW w:w="8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0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B564B1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2890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2670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3880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2120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1890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2960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2720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2620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4030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2120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1890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2750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2640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2120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1890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0 </w:t>
            </w:r>
            <w:proofErr w:type="gramStart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B564B1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B564B1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3420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3140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3010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4690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2250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lang w:bidi="ar-SA"/>
              </w:rPr>
              <w:t>2020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3550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3230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3100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4940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2250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lang w:bidi="ar-SA"/>
              </w:rPr>
              <w:t>2020</w:t>
            </w:r>
          </w:p>
        </w:tc>
      </w:tr>
      <w:tr w:rsidR="00B564B1" w:rsidRPr="00B564B1" w:rsidTr="00B564B1">
        <w:trPr>
          <w:trHeight w:val="24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3100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196B24"/>
                <w:lang w:bidi="ar-SA"/>
              </w:rPr>
              <w:t>2020</w:t>
            </w:r>
          </w:p>
        </w:tc>
      </w:tr>
    </w:tbl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Pr="00A0012D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tbl>
      <w:tblPr>
        <w:tblW w:w="10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0"/>
      </w:tblGrid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B564B1" w:rsidRPr="00656FC6" w:rsidTr="006B2A16">
        <w:trPr>
          <w:trHeight w:val="174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Y 12 A 17 AÑOS</w:t>
            </w:r>
          </w:p>
        </w:tc>
      </w:tr>
      <w:tr w:rsidR="00B564B1" w:rsidRPr="00656FC6" w:rsidTr="006B2A16">
        <w:trPr>
          <w:trHeight w:val="180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04 DE MAYO AL 12 DE OCTUBRE 2026</w:t>
            </w:r>
          </w:p>
        </w:tc>
      </w:tr>
      <w:tr w:rsidR="00B564B1" w:rsidRPr="00656FC6" w:rsidTr="006B2A16">
        <w:trPr>
          <w:trHeight w:val="180"/>
          <w:jc w:val="center"/>
        </w:trPr>
        <w:tc>
          <w:tcPr>
            <w:tcW w:w="10410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B564B1" w:rsidRPr="00656FC6" w:rsidRDefault="00B564B1" w:rsidP="006B2A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56F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DA6CC0" wp14:editId="3A8AC76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709"/>
        <w:gridCol w:w="4672"/>
      </w:tblGrid>
      <w:tr w:rsidR="00B564B1" w:rsidRPr="00B564B1" w:rsidTr="00B564B1">
        <w:trPr>
          <w:trHeight w:val="28"/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B564B1" w:rsidRPr="00B564B1" w:rsidTr="00B564B1">
        <w:trPr>
          <w:trHeight w:val="28"/>
          <w:jc w:val="center"/>
        </w:trPr>
        <w:tc>
          <w:tcPr>
            <w:tcW w:w="94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B564B1" w:rsidRPr="00B564B1" w:rsidTr="00B564B1">
        <w:trPr>
          <w:trHeight w:val="2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3 - 17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DETALLE</w:t>
            </w:r>
          </w:p>
        </w:tc>
      </w:tr>
      <w:tr w:rsidR="00B564B1" w:rsidRPr="00B564B1" w:rsidTr="00B564B1">
        <w:trPr>
          <w:trHeight w:val="29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sz w:val="20"/>
                <w:szCs w:val="20"/>
                <w:lang w:bidi="ar-SA"/>
              </w:rPr>
              <w:t>EXCURSIÓN COSTA DE BEAUPRÉ CON ALMUERZO (6 HORAS)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160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 xml:space="preserve">Día 5 Incluye Isla de Orleans, </w:t>
            </w:r>
            <w:proofErr w:type="spellStart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Canyon</w:t>
            </w:r>
            <w:proofErr w:type="spellEnd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Ste</w:t>
            </w:r>
            <w:proofErr w:type="spellEnd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 xml:space="preserve">-Anne, Basílica de Santa Ana, Cataratas Montmorency y Almuerzo en </w:t>
            </w:r>
            <w:proofErr w:type="spellStart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Québec</w:t>
            </w:r>
            <w:proofErr w:type="spellEnd"/>
            <w:r w:rsidRPr="00B564B1">
              <w:rPr>
                <w:rFonts w:ascii="Aptos Narrow" w:hAnsi="Aptos Narrow"/>
                <w:b/>
                <w:bCs/>
                <w:color w:val="000000"/>
                <w:lang w:bidi="ar-SA"/>
              </w:rPr>
              <w:t>)</w:t>
            </w:r>
          </w:p>
        </w:tc>
      </w:tr>
    </w:tbl>
    <w:p w:rsidR="00B564B1" w:rsidRDefault="00B564B1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0"/>
        <w:gridCol w:w="515"/>
        <w:gridCol w:w="487"/>
        <w:gridCol w:w="512"/>
        <w:gridCol w:w="512"/>
        <w:gridCol w:w="949"/>
      </w:tblGrid>
      <w:tr w:rsidR="00B564B1" w:rsidRPr="00B564B1" w:rsidTr="00B564B1">
        <w:trPr>
          <w:trHeight w:val="161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NOCHES ADICIONALES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113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-17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TORONTO</w:t>
            </w:r>
            <w:proofErr w:type="gramEnd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CHELSEA HOTEL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TORONTO</w:t>
            </w:r>
            <w:proofErr w:type="gramEnd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CHELSEA HOTEL (SALIDA PREMIUM 22 JUNIO)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NOCHE </w:t>
            </w:r>
            <w:proofErr w:type="gramStart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PRE TORONTO</w:t>
            </w:r>
            <w:proofErr w:type="gramEnd"/>
            <w:r w:rsidRPr="00B564B1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 xml:space="preserve"> - SHERATON CENTRE HOTEL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60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</w:pPr>
            <w:r w:rsidRPr="00B564B1"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  <w:t>NOCHE POST MONTREAL - HAMPTON INN MONTREAL DOWNTOWN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370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50</w:t>
            </w:r>
          </w:p>
        </w:tc>
      </w:tr>
      <w:tr w:rsidR="00B564B1" w:rsidRPr="00B564B1" w:rsidTr="00B564B1">
        <w:trPr>
          <w:trHeight w:val="161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</w:pPr>
            <w:r w:rsidRPr="00B564B1"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  <w:t>NOCHE POST MONTREAL - HAMPTON INN MONTREAL DOWNTOWN (SALIDA PREMIUM 20 JULIO)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520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50</w:t>
            </w:r>
          </w:p>
        </w:tc>
      </w:tr>
      <w:tr w:rsidR="00B564B1" w:rsidRPr="00B564B1" w:rsidTr="00B564B1">
        <w:trPr>
          <w:trHeight w:val="167"/>
          <w:jc w:val="center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</w:pPr>
            <w:r w:rsidRPr="00B564B1">
              <w:rPr>
                <w:rFonts w:ascii="Aptos Narrow" w:hAnsi="Aptos Narrow"/>
                <w:color w:val="FF0000"/>
                <w:sz w:val="20"/>
                <w:szCs w:val="20"/>
                <w:lang w:val="en-US" w:bidi="ar-SA"/>
              </w:rPr>
              <w:t>NOCHE POST MONTREAL - FAIRMONT QUEEN ELIZABETH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520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4B1" w:rsidRPr="00B564B1" w:rsidRDefault="00B564B1" w:rsidP="00B564B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B564B1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70</w:t>
            </w:r>
          </w:p>
        </w:tc>
      </w:tr>
    </w:tbl>
    <w:p w:rsidR="00ED4610" w:rsidRPr="00A0012D" w:rsidRDefault="00ED4610" w:rsidP="00B564B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884" w:rsidRDefault="00F61884">
      <w:pPr>
        <w:spacing w:after="0" w:line="240" w:lineRule="auto"/>
      </w:pPr>
      <w:r>
        <w:separator/>
      </w:r>
    </w:p>
  </w:endnote>
  <w:endnote w:type="continuationSeparator" w:id="0">
    <w:p w:rsidR="00F61884" w:rsidRDefault="00F6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7819AC78" wp14:editId="0BFA824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884" w:rsidRDefault="00F6188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F61884" w:rsidRDefault="00F6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A2179C" wp14:editId="63708B6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2D301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CANADÁ A TU ALCANCE</w:t>
                          </w:r>
                          <w:r w:rsidR="00373B9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II</w:t>
                          </w:r>
                        </w:p>
                        <w:p w:rsidR="007F7B70" w:rsidRPr="006210F5" w:rsidRDefault="00373B9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556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2179C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2D301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CANADÁ A TU ALCANCE</w:t>
                    </w:r>
                    <w:r w:rsidR="00373B9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II</w:t>
                    </w:r>
                  </w:p>
                  <w:p w:rsidR="007F7B70" w:rsidRPr="006210F5" w:rsidRDefault="00373B97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556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FA085B8" wp14:editId="7C36D07D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5DE933EF" wp14:editId="567A40A6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0EFE91" wp14:editId="7948C77B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760D9"/>
    <w:rsid w:val="001934F5"/>
    <w:rsid w:val="00197448"/>
    <w:rsid w:val="00206A52"/>
    <w:rsid w:val="002479F5"/>
    <w:rsid w:val="00253EC6"/>
    <w:rsid w:val="00260703"/>
    <w:rsid w:val="002A3E36"/>
    <w:rsid w:val="002B20BB"/>
    <w:rsid w:val="002D3018"/>
    <w:rsid w:val="002E2148"/>
    <w:rsid w:val="00344D3D"/>
    <w:rsid w:val="003472AF"/>
    <w:rsid w:val="00347F9E"/>
    <w:rsid w:val="003549A2"/>
    <w:rsid w:val="00373B97"/>
    <w:rsid w:val="003767CC"/>
    <w:rsid w:val="003B4F01"/>
    <w:rsid w:val="004002E5"/>
    <w:rsid w:val="00406B6E"/>
    <w:rsid w:val="00430DCE"/>
    <w:rsid w:val="004354F5"/>
    <w:rsid w:val="00445E5F"/>
    <w:rsid w:val="00456EC6"/>
    <w:rsid w:val="004737F2"/>
    <w:rsid w:val="00493763"/>
    <w:rsid w:val="004A4DC7"/>
    <w:rsid w:val="004A5406"/>
    <w:rsid w:val="004B58B8"/>
    <w:rsid w:val="004F3ADB"/>
    <w:rsid w:val="005507FE"/>
    <w:rsid w:val="00552CFD"/>
    <w:rsid w:val="005679E5"/>
    <w:rsid w:val="005E62F4"/>
    <w:rsid w:val="00600CC3"/>
    <w:rsid w:val="006210F5"/>
    <w:rsid w:val="00623E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1447D"/>
    <w:rsid w:val="00825C6E"/>
    <w:rsid w:val="00841D24"/>
    <w:rsid w:val="0088560B"/>
    <w:rsid w:val="008B2E37"/>
    <w:rsid w:val="008C56AB"/>
    <w:rsid w:val="008E5CC0"/>
    <w:rsid w:val="008F157E"/>
    <w:rsid w:val="008F4840"/>
    <w:rsid w:val="0090199B"/>
    <w:rsid w:val="009119BC"/>
    <w:rsid w:val="00945F42"/>
    <w:rsid w:val="00964A58"/>
    <w:rsid w:val="009767C9"/>
    <w:rsid w:val="00985F89"/>
    <w:rsid w:val="00986E85"/>
    <w:rsid w:val="00A0012D"/>
    <w:rsid w:val="00A109A1"/>
    <w:rsid w:val="00A1676A"/>
    <w:rsid w:val="00A30078"/>
    <w:rsid w:val="00A322C8"/>
    <w:rsid w:val="00A32A11"/>
    <w:rsid w:val="00A455A6"/>
    <w:rsid w:val="00A71F05"/>
    <w:rsid w:val="00A979AE"/>
    <w:rsid w:val="00AA302B"/>
    <w:rsid w:val="00AB0E37"/>
    <w:rsid w:val="00AC4C1F"/>
    <w:rsid w:val="00AD3EA1"/>
    <w:rsid w:val="00AE3118"/>
    <w:rsid w:val="00AF0796"/>
    <w:rsid w:val="00B11AFA"/>
    <w:rsid w:val="00B41B77"/>
    <w:rsid w:val="00B564B1"/>
    <w:rsid w:val="00B71AF3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56CD3"/>
    <w:rsid w:val="00C647B5"/>
    <w:rsid w:val="00C90CC1"/>
    <w:rsid w:val="00C97FB6"/>
    <w:rsid w:val="00CC0D4B"/>
    <w:rsid w:val="00CE0C8F"/>
    <w:rsid w:val="00D2140A"/>
    <w:rsid w:val="00D71BE3"/>
    <w:rsid w:val="00D928CB"/>
    <w:rsid w:val="00DD2475"/>
    <w:rsid w:val="00DE3DFE"/>
    <w:rsid w:val="00DE7D94"/>
    <w:rsid w:val="00DF27F2"/>
    <w:rsid w:val="00E5624C"/>
    <w:rsid w:val="00E701F2"/>
    <w:rsid w:val="00E856F2"/>
    <w:rsid w:val="00ED4610"/>
    <w:rsid w:val="00EE2794"/>
    <w:rsid w:val="00EE5A2D"/>
    <w:rsid w:val="00F01C44"/>
    <w:rsid w:val="00F14FD9"/>
    <w:rsid w:val="00F257E1"/>
    <w:rsid w:val="00F341D4"/>
    <w:rsid w:val="00F6188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4688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2025-09-05T17:29:00Z</dcterms:created>
  <dcterms:modified xsi:type="dcterms:W3CDTF">2025-09-05T17:29:00Z</dcterms:modified>
</cp:coreProperties>
</file>