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6001" w14:textId="43B27B0B" w:rsidR="00386E61" w:rsidRPr="002D41EB" w:rsidRDefault="00056368" w:rsidP="00386E61">
      <w:pPr>
        <w:jc w:val="center"/>
        <w:outlineLvl w:val="1"/>
        <w:rPr>
          <w:rFonts w:asciiTheme="minorHAnsi" w:hAnsiTheme="minorHAnsi" w:cs="Arial"/>
          <w:b/>
          <w:color w:val="FF0000"/>
          <w:sz w:val="32"/>
          <w:lang w:val="es-MX"/>
        </w:rPr>
      </w:pPr>
      <w:r w:rsidRPr="002D41EB"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 xml:space="preserve">ESTAMBUL, ANKARA, CAPADOCIA, PAMMUKALE, ÉFESO, KUSADASI </w:t>
      </w:r>
      <w:r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>O</w:t>
      </w:r>
      <w:r w:rsidRPr="002D41EB">
        <w:rPr>
          <w:rFonts w:asciiTheme="minorHAnsi" w:eastAsia="Arial Unicode MS" w:hAnsiTheme="minorHAnsi" w:cs="Arial"/>
          <w:b/>
          <w:color w:val="FF0000"/>
          <w:sz w:val="32"/>
          <w:lang w:val="es-MX"/>
        </w:rPr>
        <w:t xml:space="preserve"> IZMIR (ESMIRNA), PÉRGAMO</w:t>
      </w:r>
    </w:p>
    <w:p w14:paraId="2876CDC6" w14:textId="77777777" w:rsidR="00386E61" w:rsidRPr="00677139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0C0DC60" w14:textId="14EFA1B6" w:rsidR="005352A8" w:rsidRPr="00585204" w:rsidRDefault="005A56C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Duracion: </w:t>
      </w:r>
      <w:r w:rsidR="00066A78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í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as</w:t>
      </w:r>
    </w:p>
    <w:p w14:paraId="31D3389A" w14:textId="385D70EA" w:rsidR="005A56C8" w:rsidRPr="00585204" w:rsidRDefault="005A56C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</w:t>
      </w: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ueves</w:t>
      </w:r>
      <w:r w:rsidR="005F3655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DD63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01 enero 2</w:t>
      </w:r>
      <w:r w:rsidR="00C50F6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026</w:t>
      </w:r>
      <w:r w:rsidR="00791752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63CF3"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1000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15 de noviembre</w:t>
      </w:r>
      <w:r w:rsid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0F2F2AD0" w14:textId="77777777" w:rsidR="008F454A" w:rsidRPr="00585204" w:rsidRDefault="004A0ED1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1F8A3040" w14:textId="37E4A3F3" w:rsidR="005352A8" w:rsidRPr="00585204" w:rsidRDefault="00ED0B78" w:rsidP="005852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5852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1369D40E" w14:textId="77777777" w:rsidR="00272C3F" w:rsidRPr="00066A78" w:rsidRDefault="00272C3F" w:rsidP="00066A78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tr-TR" w:eastAsia="pt-PT"/>
        </w:rPr>
      </w:pPr>
    </w:p>
    <w:p w14:paraId="07626C16" w14:textId="0D662909" w:rsidR="002D41EB" w:rsidRPr="007E30AB" w:rsidRDefault="007E30AB" w:rsidP="007E30AB">
      <w:pPr>
        <w:pStyle w:val="Ttulo2"/>
        <w:spacing w:before="0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</w:pPr>
      <w:r w:rsidRPr="00B47F49">
        <w:rPr>
          <w:rStyle w:val="DanmeroCar"/>
          <w:bCs/>
          <w:sz w:val="24"/>
          <w:szCs w:val="24"/>
        </w:rPr>
        <w:t>DÍA 1 |</w:t>
      </w:r>
      <w:r w:rsidRPr="00B47F4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B47F49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 w:rsidR="00066A78" w:rsidRPr="00066A78">
        <w:rPr>
          <w:rFonts w:ascii="Arial" w:hAnsi="Arial" w:cs="Arial"/>
          <w:sz w:val="20"/>
          <w:szCs w:val="20"/>
        </w:rPr>
        <w:br/>
      </w:r>
      <w:r w:rsidR="002D41EB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Llegada al aeropuerto de Estambul y traslado con asistencia al hotel. </w:t>
      </w:r>
      <w:r w:rsidR="002D41EB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2D41EB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23410681" w14:textId="77777777" w:rsidR="007E30AB" w:rsidRPr="007E30AB" w:rsidRDefault="007E30AB" w:rsidP="007E30AB">
      <w:pPr>
        <w:rPr>
          <w:lang w:bidi="en-US"/>
        </w:rPr>
      </w:pPr>
    </w:p>
    <w:p w14:paraId="1C2F9F7C" w14:textId="0B15ADD6" w:rsidR="007E30AB" w:rsidRDefault="007E30AB" w:rsidP="00A6028E">
      <w:pPr>
        <w:pStyle w:val="Textoindependiente"/>
        <w:jc w:val="both"/>
        <w:rPr>
          <w:rFonts w:asciiTheme="minorHAnsi" w:eastAsia="Arial" w:hAnsiTheme="minorHAnsi" w:cstheme="minorHAnsi"/>
          <w:b/>
          <w:color w:val="FF000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B47F49">
        <w:rPr>
          <w:rStyle w:val="DanmeroCar"/>
          <w:bCs/>
          <w:sz w:val="24"/>
          <w:szCs w:val="24"/>
        </w:rPr>
        <w:t xml:space="preserve"> 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 w:rsidRPr="00B47F49">
        <w:rPr>
          <w:rFonts w:asciiTheme="minorHAnsi" w:eastAsia="Arial" w:hAnsiTheme="minorHAnsi" w:cstheme="minorHAnsi"/>
          <w:b/>
          <w:color w:val="FF0000"/>
        </w:rPr>
        <w:t>Estambul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E30AB">
        <w:rPr>
          <w:rFonts w:asciiTheme="minorHAnsi" w:eastAsia="Arial" w:hAnsiTheme="minorHAnsi" w:cstheme="minorHAnsi"/>
          <w:color w:val="002060"/>
        </w:rPr>
        <w:t xml:space="preserve">(paseo por el </w:t>
      </w:r>
      <w:proofErr w:type="spellStart"/>
      <w:r w:rsidRPr="007E30AB">
        <w:rPr>
          <w:rFonts w:asciiTheme="minorHAnsi" w:eastAsia="Arial" w:hAnsiTheme="minorHAnsi" w:cstheme="minorHAnsi"/>
          <w:color w:val="002060"/>
        </w:rPr>
        <w:t>Bósforo</w:t>
      </w:r>
      <w:proofErr w:type="spellEnd"/>
      <w:r w:rsidRPr="007E30AB">
        <w:rPr>
          <w:rFonts w:asciiTheme="minorHAnsi" w:eastAsia="Arial" w:hAnsiTheme="minorHAnsi" w:cstheme="minorHAnsi"/>
          <w:color w:val="002060"/>
        </w:rPr>
        <w:t xml:space="preserve"> y Palacio </w:t>
      </w:r>
      <w:proofErr w:type="spellStart"/>
      <w:r w:rsidRPr="007E30AB">
        <w:rPr>
          <w:rFonts w:asciiTheme="minorHAnsi" w:eastAsia="Arial" w:hAnsiTheme="minorHAnsi" w:cstheme="minorHAnsi"/>
          <w:color w:val="002060"/>
        </w:rPr>
        <w:t>Topkapi</w:t>
      </w:r>
      <w:proofErr w:type="spellEnd"/>
      <w:r w:rsidRPr="007E30AB">
        <w:rPr>
          <w:rFonts w:asciiTheme="minorHAnsi" w:eastAsia="Arial" w:hAnsiTheme="minorHAnsi" w:cstheme="minorHAnsi"/>
          <w:color w:val="002060"/>
        </w:rPr>
        <w:t>)</w:t>
      </w:r>
    </w:p>
    <w:p w14:paraId="77D10859" w14:textId="7D18E7D8" w:rsidR="00A6028E" w:rsidRPr="007E30AB" w:rsidRDefault="002D41EB" w:rsidP="007E30AB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hotel.</w:t>
      </w:r>
      <w:r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Salida hacia el Mercado Egipcio. Luego, realizaremos un paseo en barco por el estrecho del Bósforo, disfrutando de una vista panorámica de palacios, pueblos costeros y casas tradicionales.</w:t>
      </w:r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Almuerzo. Por la tarde, visita al Palacio de </w:t>
      </w:r>
      <w:proofErr w:type="spellStart"/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, residencia de los sultanes otomanos, famoso por su impresionante colección de joyas y porcelanas 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(regreso por cuenta propia).</w:t>
      </w:r>
      <w:r w:rsidR="00A6028E" w:rsidRPr="007E30AB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2704A2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hotel</w:t>
      </w:r>
      <w:r w:rsidR="00A6028E" w:rsidRPr="007E30AB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36CEC194" w14:textId="26EF8C95" w:rsidR="00066A78" w:rsidRDefault="00066A78" w:rsidP="00066A78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F080641" w14:textId="2E9D17B5" w:rsidR="002704A2" w:rsidRDefault="007E30AB" w:rsidP="002704A2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 w:rsidRPr="00B47F49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- Ankara </w:t>
      </w:r>
      <w:r w:rsidR="00066A78" w:rsidRPr="0077491D">
        <w:rPr>
          <w:rFonts w:ascii="Arial" w:eastAsia="Calibri" w:hAnsi="Arial" w:cs="Arial"/>
          <w:b/>
          <w:bCs/>
          <w:caps/>
          <w:sz w:val="20"/>
          <w:szCs w:val="20"/>
        </w:rPr>
        <w:t xml:space="preserve"> </w:t>
      </w:r>
    </w:p>
    <w:p w14:paraId="7C39AC5B" w14:textId="5907A970" w:rsidR="007E30AB" w:rsidRDefault="002D41E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7E30A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Ankara, capital de Turquía. En ruta se puede incluir un almuerzo opcional (no incluido). A la llegada, visita al Mausoleo de </w:t>
      </w:r>
      <w:proofErr w:type="spellStart"/>
      <w:r w:rsidRPr="007E30A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Cena y alojamiento en Ankara</w:t>
      </w:r>
      <w:r w:rsid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</w:p>
    <w:p w14:paraId="5662DFE1" w14:textId="77777777" w:rsidR="007E30AB" w:rsidRPr="007E30AB" w:rsidRDefault="007E30A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18D8A66F" w14:textId="6EBE5E29" w:rsidR="000863CE" w:rsidRDefault="000863CE" w:rsidP="000863CE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Ankara</w:t>
      </w:r>
      <w:r w:rsidR="00C00105">
        <w:rPr>
          <w:rFonts w:asciiTheme="minorHAnsi" w:eastAsia="Arial" w:hAnsiTheme="minorHAnsi" w:cstheme="minorHAnsi"/>
          <w:b/>
          <w:color w:val="FF0000"/>
        </w:rPr>
        <w:t xml:space="preserve"> – Capadocia </w:t>
      </w:r>
    </w:p>
    <w:p w14:paraId="62E7435F" w14:textId="77777777" w:rsidR="00C00105" w:rsidRDefault="002D41EB" w:rsidP="00B27A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Salida hacia Capadocia, pasando por el lago salado. En ruta, almuerzo libre. Al llegar, visitaremos una ciudad subterránea utilizada como refugio por los primeros cristianos.</w:t>
      </w:r>
      <w:r w:rsid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7E30A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  <w:r w:rsid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78D7165F" w14:textId="5BBC53CA" w:rsidR="00B27AA1" w:rsidRPr="007E30AB" w:rsidRDefault="002D41EB" w:rsidP="00B27AA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C00105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  <w:lang w:val="es-MX" w:eastAsia="es-MX" w:bidi="en-US"/>
        </w:rPr>
        <w:t>Consulta los tours opcionales del día, con almuerzo incluido. Se pagan en destino</w:t>
      </w:r>
      <w:r w:rsidR="00026BC9" w:rsidRPr="00C00105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</w:p>
    <w:p w14:paraId="18D0DB79" w14:textId="77777777" w:rsidR="00066A78" w:rsidRPr="00066A78" w:rsidRDefault="00066A78" w:rsidP="00066A78">
      <w:pPr>
        <w:jc w:val="both"/>
        <w:rPr>
          <w:rFonts w:ascii="Arial" w:hAnsi="Arial" w:cs="Arial"/>
          <w:sz w:val="20"/>
          <w:szCs w:val="20"/>
        </w:rPr>
      </w:pPr>
    </w:p>
    <w:p w14:paraId="330E2BBA" w14:textId="2FD26318" w:rsidR="00C00105" w:rsidRDefault="00C00105" w:rsidP="00C00105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</w:t>
      </w:r>
    </w:p>
    <w:p w14:paraId="4DDCF240" w14:textId="07424344" w:rsidR="00066A78" w:rsidRPr="00C00105" w:rsidRDefault="002D41EB" w:rsidP="00066A78">
      <w:pPr>
        <w:jc w:val="both"/>
        <w:rPr>
          <w:rFonts w:asciiTheme="minorHAnsi" w:hAnsiTheme="minorHAnsi" w:cstheme="minorHAnsi"/>
          <w:b/>
          <w:i/>
          <w:iCs/>
          <w:color w:val="002060"/>
          <w:sz w:val="20"/>
          <w:szCs w:val="20"/>
          <w:lang w:val="es-MX" w:eastAsia="es-MX" w:bidi="en-US"/>
        </w:rPr>
      </w:pP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Día completo explorando Capadocia: el Valle de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Paşabağ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la fortaleza de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Uçhisar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Ortahisar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Ürgüp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Avanos</w:t>
      </w:r>
      <w:proofErr w:type="spellEnd"/>
      <w:r w:rsidRPr="00C0010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También visitaremos talleres artesanales de alfombras y piedras semipreciosas</w:t>
      </w: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C00105"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C0010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C00105">
        <w:rPr>
          <w:rFonts w:asciiTheme="minorHAnsi" w:hAnsiTheme="minorHAnsi" w:cstheme="minorHAnsi"/>
          <w:b/>
          <w:i/>
          <w:color w:val="002060"/>
          <w:sz w:val="20"/>
          <w:szCs w:val="20"/>
          <w:lang w:val="es-MX" w:eastAsia="es-MX" w:bidi="en-US"/>
        </w:rPr>
        <w:t>.</w:t>
      </w:r>
      <w:r w:rsidRPr="00C00105">
        <w:rPr>
          <w:rFonts w:asciiTheme="minorHAnsi" w:hAnsiTheme="minorHAnsi" w:cstheme="minorHAnsi"/>
          <w:b/>
          <w:i/>
          <w:color w:val="002060"/>
          <w:sz w:val="20"/>
          <w:szCs w:val="20"/>
          <w:lang w:val="es-MX" w:eastAsia="es-MX" w:bidi="en-US"/>
        </w:rPr>
        <w:br/>
      </w:r>
      <w:r w:rsidRPr="00C00105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  <w:lang w:val="es-MX" w:eastAsia="es-MX" w:bidi="en-US"/>
        </w:rPr>
        <w:t>Sugerencia opcional: paseo en globo aerostático al amanecer.</w:t>
      </w:r>
    </w:p>
    <w:p w14:paraId="64482D65" w14:textId="77777777" w:rsidR="002D41EB" w:rsidRPr="00C00105" w:rsidRDefault="002D41EB" w:rsidP="00066A7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376A12E6" w14:textId="439C0B41" w:rsidR="006D757F" w:rsidRDefault="006D757F" w:rsidP="006D757F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6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Capadocia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7A81460" w14:textId="1BDB3564" w:rsidR="00026BC9" w:rsidRPr="00D0503F" w:rsidRDefault="00026BC9" w:rsidP="00026BC9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Desayuno.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Salida hacia </w:t>
      </w:r>
      <w:proofErr w:type="spellStart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conocido como el "Castillo de Algodón" por sus impresionantes terrazas blancas formadas por aguas termales. En ruta, visitaremos un </w:t>
      </w:r>
      <w:proofErr w:type="spellStart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del siglo XIII, lugar de descanso para las caravanas de la Ruta de la Seda. </w:t>
      </w: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F521BFD" w14:textId="3574466B" w:rsidR="00066A78" w:rsidRDefault="00066A78" w:rsidP="00066A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D6B805" w14:textId="3431372D" w:rsidR="00D0503F" w:rsidRDefault="00D0503F" w:rsidP="00D0503F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7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Éfeso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</w:p>
    <w:p w14:paraId="3BD89F36" w14:textId="6A6F4ADF" w:rsidR="00720AA7" w:rsidRPr="00D0503F" w:rsidRDefault="002D41EB" w:rsidP="00720AA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de Hierápolis y el Castillo de Algodón, con sus famosas formaciones calcáreas. Continuación hacia Éfeso para visitar el Templo de Adriano, el Odeón, la Biblioteca de Celso, el Teatro, y la Casa de la Virgen María.</w:t>
      </w:r>
      <w:r w:rsidR="00D0503F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a un taller de cuero.</w:t>
      </w:r>
      <w:r w:rsid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1F15628A" w14:textId="12720C52" w:rsidR="00417444" w:rsidRPr="00C23D23" w:rsidRDefault="00417444" w:rsidP="00066A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B3765F" w14:textId="332C1913" w:rsidR="00D0503F" w:rsidRPr="005160E8" w:rsidRDefault="00D0503F" w:rsidP="00D0503F">
      <w:pPr>
        <w:jc w:val="both"/>
        <w:rPr>
          <w:rFonts w:ascii="Arial" w:eastAsia="Calibri" w:hAnsi="Arial" w:cs="Arial"/>
          <w:bCs/>
          <w:caps/>
          <w:color w:val="002060"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8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5160E8">
        <w:rPr>
          <w:rFonts w:asciiTheme="minorHAnsi" w:eastAsia="Arial" w:hAnsiTheme="minorHAnsi" w:cstheme="minorHAnsi"/>
          <w:color w:val="002060"/>
        </w:rPr>
        <w:t xml:space="preserve">(opcional visita a </w:t>
      </w:r>
      <w:proofErr w:type="spellStart"/>
      <w:r w:rsidRPr="005160E8">
        <w:rPr>
          <w:rFonts w:asciiTheme="minorHAnsi" w:eastAsia="Arial" w:hAnsiTheme="minorHAnsi" w:cstheme="minorHAnsi"/>
          <w:color w:val="002060"/>
        </w:rPr>
        <w:t>Sirince</w:t>
      </w:r>
      <w:proofErr w:type="spellEnd"/>
      <w:r w:rsidRPr="005160E8">
        <w:rPr>
          <w:rFonts w:asciiTheme="minorHAnsi" w:eastAsia="Arial" w:hAnsiTheme="minorHAnsi" w:cstheme="minorHAnsi"/>
          <w:color w:val="002060"/>
        </w:rPr>
        <w:t xml:space="preserve"> e Izmir) </w:t>
      </w:r>
    </w:p>
    <w:p w14:paraId="29F8B8D0" w14:textId="2F9570B7" w:rsidR="007348F9" w:rsidRPr="00D0503F" w:rsidRDefault="00D0503F" w:rsidP="00B85815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Día libre o posibilidad de realizar un tour opcional 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(el pago es en destino) </w:t>
      </w:r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pintoresco pueblo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Sirince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 origen griego, y a Izmir, la tercera ciudad más grande del país. Incluye visitas a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Asansör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reloj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Konak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Kordon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los barrios de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Konak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Alsancak</w:t>
      </w:r>
      <w:proofErr w:type="spellEnd"/>
      <w:r w:rsidR="002D41EB"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Pr="00D0503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D41EB" w:rsidRPr="00D0503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64F38EB4" w14:textId="6EB682ED" w:rsidR="002D41EB" w:rsidRDefault="002D41EB" w:rsidP="00B85815">
      <w:pPr>
        <w:jc w:val="both"/>
        <w:rPr>
          <w:rFonts w:ascii="Arial" w:eastAsia="Calibri" w:hAnsi="Arial" w:cs="Arial"/>
          <w:b/>
          <w:bCs/>
          <w:caps/>
          <w:sz w:val="20"/>
          <w:szCs w:val="20"/>
          <w:lang w:val="es-MX"/>
        </w:rPr>
      </w:pPr>
    </w:p>
    <w:p w14:paraId="6AC9C1BF" w14:textId="77777777" w:rsidR="002D41EB" w:rsidRPr="00C533A9" w:rsidRDefault="002D41EB" w:rsidP="00B85815">
      <w:pPr>
        <w:jc w:val="both"/>
        <w:rPr>
          <w:rFonts w:ascii="Arial" w:eastAsia="Calibri" w:hAnsi="Arial" w:cs="Arial"/>
          <w:b/>
          <w:bCs/>
          <w:caps/>
          <w:sz w:val="20"/>
          <w:szCs w:val="20"/>
          <w:lang w:val="es-MX"/>
        </w:rPr>
      </w:pPr>
    </w:p>
    <w:p w14:paraId="0B740610" w14:textId="7B4568F0" w:rsidR="00176479" w:rsidRDefault="00176479" w:rsidP="00176479">
      <w:pPr>
        <w:jc w:val="both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B47F49">
        <w:rPr>
          <w:rStyle w:val="DanmeroCar"/>
          <w:bCs/>
          <w:sz w:val="24"/>
          <w:szCs w:val="24"/>
        </w:rPr>
        <w:t>|</w:t>
      </w:r>
      <w:r w:rsidRPr="00B47F4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Izmir 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Pérgamo - Estambul </w:t>
      </w:r>
    </w:p>
    <w:p w14:paraId="3538C2A3" w14:textId="3E5762C4" w:rsidR="00066A78" w:rsidRPr="00176479" w:rsidRDefault="002D41EB" w:rsidP="00176479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17647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Pérgamo para visitar el </w:t>
      </w:r>
      <w:proofErr w:type="spellStart"/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, antiguo hospital dedicado a Esculapio.</w:t>
      </w:r>
      <w:r w:rsid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A continuación, iremos </w:t>
      </w:r>
      <w:r w:rsidR="00176479"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hacia</w:t>
      </w:r>
      <w:r w:rsidRPr="0017647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Estambul</w:t>
      </w:r>
      <w:r w:rsidRPr="0017647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. Alojamiento.</w:t>
      </w:r>
    </w:p>
    <w:p w14:paraId="1847B318" w14:textId="77777777" w:rsidR="002D41EB" w:rsidRPr="00C23D23" w:rsidRDefault="002D41EB" w:rsidP="00066A78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C6BB911" w14:textId="77777777" w:rsidR="00F36916" w:rsidRDefault="007E30AB" w:rsidP="00F36916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 w:rsidRPr="00F36916">
        <w:rPr>
          <w:rStyle w:val="DanmeroCar"/>
          <w:bCs/>
          <w:sz w:val="24"/>
          <w:szCs w:val="24"/>
        </w:rPr>
        <w:t xml:space="preserve">10 | </w:t>
      </w:r>
      <w:r w:rsidRPr="00F36916">
        <w:rPr>
          <w:rStyle w:val="DanmeroCar"/>
          <w:bCs/>
          <w:color w:val="FF0000"/>
          <w:sz w:val="24"/>
          <w:szCs w:val="24"/>
        </w:rPr>
        <w:t>Estambul</w:t>
      </w:r>
    </w:p>
    <w:p w14:paraId="3CEC21C7" w14:textId="6B84152C" w:rsidR="002D41EB" w:rsidRPr="002D41EB" w:rsidRDefault="00F36916" w:rsidP="00F36916">
      <w:pPr>
        <w:pStyle w:val="Ttulo2"/>
        <w:spacing w:before="0"/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bidi="en-US"/>
        </w:rPr>
      </w:pPr>
      <w:r w:rsidRPr="00F369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D41EB" w:rsidRPr="002D41E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Día libre para actividades personales o tours opcionales, como la visita a la ciudad vieja de Estambul o un crucero con almuerzo.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F369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D480867" w14:textId="77777777" w:rsidR="00066A78" w:rsidRPr="00C23D23" w:rsidRDefault="00066A78" w:rsidP="00066A78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0DB507F" w14:textId="69885D75" w:rsidR="00F36916" w:rsidRDefault="00F36916" w:rsidP="00F36916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B47F49">
        <w:rPr>
          <w:rStyle w:val="DanmeroCar"/>
          <w:bCs/>
          <w:sz w:val="24"/>
          <w:szCs w:val="24"/>
        </w:rPr>
        <w:t xml:space="preserve">DÍA </w:t>
      </w:r>
      <w:r w:rsidRPr="00F36916"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F36916">
        <w:rPr>
          <w:rStyle w:val="DanmeroCar"/>
          <w:bCs/>
          <w:sz w:val="24"/>
          <w:szCs w:val="24"/>
        </w:rPr>
        <w:t xml:space="preserve"> | </w:t>
      </w:r>
      <w:r w:rsidRPr="00F36916">
        <w:rPr>
          <w:rStyle w:val="DanmeroCar"/>
          <w:bCs/>
          <w:color w:val="FF0000"/>
          <w:sz w:val="24"/>
          <w:szCs w:val="24"/>
        </w:rPr>
        <w:t>Estambul</w:t>
      </w:r>
    </w:p>
    <w:p w14:paraId="67EC2234" w14:textId="77777777" w:rsidR="00066A78" w:rsidRPr="00F36916" w:rsidRDefault="0077491D" w:rsidP="00066A78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  <w:r w:rsidRPr="00F36916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Traslado hotel </w:t>
      </w:r>
      <w:r w:rsidR="006E6E25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al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aeropuerto</w:t>
      </w:r>
      <w:r w:rsidR="006E6E25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de</w:t>
      </w:r>
      <w:r w:rsidR="00066A78" w:rsidRPr="00F36916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Estambul</w:t>
      </w:r>
      <w:r w:rsidRPr="00F36916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. Fin de los servicios</w:t>
      </w:r>
    </w:p>
    <w:p w14:paraId="724541EF" w14:textId="77777777" w:rsidR="00386E61" w:rsidRPr="00677139" w:rsidRDefault="00386E61" w:rsidP="00386E61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6B89ED73" w14:textId="77777777" w:rsidR="00440AB6" w:rsidRPr="008E0561" w:rsidRDefault="00440AB6" w:rsidP="00440AB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8E0561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0EF9C4A9" w14:textId="5229F86D" w:rsidR="005A56C8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10 noches de alojamiento </w:t>
      </w:r>
      <w:r w:rsidR="002457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en hoteles indicados o similares</w:t>
      </w:r>
    </w:p>
    <w:p w14:paraId="0372B0F8" w14:textId="20C05CFD" w:rsidR="00870A97" w:rsidRPr="00440AB6" w:rsidRDefault="00870A97" w:rsidP="00870A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10 desayunos y 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6 cenas (sin bebidas)</w:t>
      </w:r>
    </w:p>
    <w:p w14:paraId="1EFA4823" w14:textId="77777777" w:rsidR="00FD4283" w:rsidRPr="00440AB6" w:rsidRDefault="005A56C8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Traslados </w:t>
      </w:r>
      <w:r w:rsidR="00FD4283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de llegada y salida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 (aeropuerto nuevo Estambul</w:t>
      </w:r>
      <w:r w:rsidR="00FD4283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, IST</w:t>
      </w: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)</w:t>
      </w:r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. Aplica suplemento por traslados desde y hacia el aeropuerto internacional </w:t>
      </w:r>
      <w:proofErr w:type="spellStart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Sabiha</w:t>
      </w:r>
      <w:proofErr w:type="spellEnd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 xml:space="preserve"> </w:t>
      </w:r>
      <w:proofErr w:type="spellStart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Gökçen</w:t>
      </w:r>
      <w:proofErr w:type="spellEnd"/>
      <w:r w:rsidR="006A2132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. Favor de consultar</w:t>
      </w:r>
      <w:r w:rsidR="006E6E25"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.</w:t>
      </w:r>
    </w:p>
    <w:p w14:paraId="16DA699B" w14:textId="0455685A" w:rsidR="003420F1" w:rsidRPr="00440AB6" w:rsidRDefault="003420F1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16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color w:val="002060"/>
          <w:sz w:val="20"/>
          <w:lang w:val="es-AR" w:eastAsia="es-MX" w:bidi="en-US"/>
        </w:rPr>
        <w:t>Excursión por el Bósforo, visita al mercado egipcio en servicio compartido</w:t>
      </w:r>
    </w:p>
    <w:p w14:paraId="014C7B24" w14:textId="77777777" w:rsidR="004B32B9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Todas las visitas según itinerario con guía de habla hispana en servicio compartido.</w:t>
      </w:r>
    </w:p>
    <w:p w14:paraId="6E1CB2A5" w14:textId="77777777" w:rsidR="004B32B9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Entradas incluidas durante las visitas.</w:t>
      </w:r>
    </w:p>
    <w:p w14:paraId="02F8F432" w14:textId="6C7F2B73" w:rsidR="005A56C8" w:rsidRPr="00440AB6" w:rsidRDefault="004B32B9" w:rsidP="00440A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</w:pPr>
      <w:r w:rsidRPr="00440AB6">
        <w:rPr>
          <w:rFonts w:asciiTheme="minorHAnsi" w:hAnsiTheme="minorHAnsi" w:cstheme="minorHAnsi"/>
          <w:bCs/>
          <w:color w:val="002060"/>
          <w:sz w:val="20"/>
          <w:szCs w:val="20"/>
          <w:lang w:val="es-AR" w:eastAsia="es-MX" w:bidi="en-US"/>
        </w:rPr>
        <w:t>Transporte con aire acondicionado</w:t>
      </w:r>
    </w:p>
    <w:p w14:paraId="23BCCFCC" w14:textId="77777777" w:rsidR="0077491D" w:rsidRDefault="0077491D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C55513F" w14:textId="11C631FA" w:rsidR="00805A7C" w:rsidRPr="00805A7C" w:rsidRDefault="00805A7C" w:rsidP="00805A7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</w:t>
      </w:r>
      <w:r w:rsidRPr="00805A7C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868929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Vuelo internacional e interno</w:t>
      </w:r>
    </w:p>
    <w:p w14:paraId="5F48CC20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Bebidas en comidas y cenas</w:t>
      </w:r>
    </w:p>
    <w:p w14:paraId="06CBC67D" w14:textId="6735EB7B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Propinas a guías, chóferes y maleteros </w:t>
      </w:r>
    </w:p>
    <w:p w14:paraId="528A5B3D" w14:textId="77777777" w:rsidR="00F17514" w:rsidRPr="00B302BC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Extras y cualquier gasto personal</w:t>
      </w:r>
    </w:p>
    <w:p w14:paraId="20DB04FC" w14:textId="77777777" w:rsidR="00F17514" w:rsidRPr="008E0561" w:rsidRDefault="00F17514" w:rsidP="00F175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8E056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Trámite de visado en Turquía</w:t>
      </w:r>
    </w:p>
    <w:p w14:paraId="0BA7EBC2" w14:textId="77777777" w:rsidR="00D972F3" w:rsidRDefault="00D972F3" w:rsidP="006A2132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val="es-MX" w:eastAsia="es-MX"/>
        </w:rPr>
      </w:pPr>
    </w:p>
    <w:p w14:paraId="6DE0B232" w14:textId="656D3055" w:rsidR="00214394" w:rsidRDefault="00214394" w:rsidP="002143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2143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518EB3BC" w14:textId="77777777" w:rsidR="00214394" w:rsidRDefault="00214394" w:rsidP="0021439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A921D51" w14:textId="77777777" w:rsidR="00214394" w:rsidRPr="00E064D8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064D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27 diciembre 2025 al 02 enero 2026 </w:t>
      </w:r>
    </w:p>
    <w:p w14:paraId="027BAD75" w14:textId="77777777" w:rsidR="00214394" w:rsidRPr="00483C5D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La entrada a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no incluye </w:t>
      </w:r>
      <w:r>
        <w:rPr>
          <w:rFonts w:asciiTheme="minorHAnsi" w:hAnsiTheme="minorHAnsi" w:cstheme="minorHAnsi"/>
          <w:color w:val="002060"/>
          <w:sz w:val="20"/>
          <w:szCs w:val="20"/>
        </w:rPr>
        <w:t>el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acceso al Harem </w:t>
      </w:r>
    </w:p>
    <w:p w14:paraId="5DBA0CBC" w14:textId="77777777" w:rsidR="00214394" w:rsidRPr="00483C5D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>Para la temporada del 16 de noviembre 2025 al 14 marzo 2026 no se ofrecerá la opción de agregar la entrada a Sta. Sofía. para los pasajeros que quieran visitarla por dentro.</w:t>
      </w:r>
    </w:p>
    <w:p w14:paraId="45878115" w14:textId="77777777" w:rsidR="00214394" w:rsidRPr="00483C5D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Aeropuerto de llegada: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Es imprescindible que su vuelo llegue al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de Estambul (IST –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Arnavutköy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. En caso de llegar al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Sabiha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Gökçen</w:t>
      </w:r>
      <w:proofErr w:type="spellEnd"/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(SAW)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, se aplicará un suplemento por traslado adicional.</w:t>
      </w:r>
    </w:p>
    <w:p w14:paraId="7A6FEBFA" w14:textId="792E1C5A" w:rsidR="00214394" w:rsidRPr="00214394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14394">
        <w:rPr>
          <w:rFonts w:asciiTheme="minorHAnsi" w:hAnsiTheme="minorHAnsi" w:cstheme="minorHAnsi"/>
          <w:color w:val="002060"/>
          <w:sz w:val="20"/>
          <w:szCs w:val="20"/>
        </w:rPr>
        <w:t xml:space="preserve">Restricciones de acceso según el día: Santa Sofía: Acceso limitado los viernes por el rezo del mediodía / Mezquita Azul: Acceso limitado los viernes; ese día solo se podrá visitar el patio interior y los jardines / Palacio </w:t>
      </w:r>
      <w:proofErr w:type="spellStart"/>
      <w:r w:rsidRPr="00214394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214394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r w:rsidRPr="00214394">
        <w:rPr>
          <w:rFonts w:asciiTheme="minorHAnsi" w:hAnsiTheme="minorHAnsi" w:cstheme="minorHAnsi"/>
          <w:bCs/>
          <w:color w:val="002060"/>
          <w:sz w:val="20"/>
          <w:szCs w:val="20"/>
        </w:rPr>
        <w:t>Cerrado los martes / Gran Bazar: Cerrado los domingos.</w:t>
      </w:r>
    </w:p>
    <w:p w14:paraId="73C06C33" w14:textId="77777777" w:rsidR="00214394" w:rsidRPr="00214394" w:rsidRDefault="00214394" w:rsidP="00214394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21439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La actividad opcional del día 8 del itinerario, el pago deberá ser moneda EURO o en USD y en efectivo. No se puede pagar con tarjeta de crédito o débito. El guía preguntará días antes o el mismo </w:t>
      </w:r>
    </w:p>
    <w:p w14:paraId="515262DB" w14:textId="77777777" w:rsidR="00214394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A su llegada al aeropuerto IST, una vez recogido el equipaje y saliendo al área pública,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deberán dirigirse a la puerta 8 (Gate 8)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, ubicada en el mismo nivel.</w:t>
      </w:r>
    </w:p>
    <w:p w14:paraId="32BCBE7F" w14:textId="0B763816" w:rsidR="00214394" w:rsidRPr="00E064D8" w:rsidRDefault="00214394" w:rsidP="00214394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Por regulaciones locales, los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transferistas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no pueden ingresar a espacios cerrados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, por lo que lo esperarán en esa puerta con una pancarta con 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 xml:space="preserve">su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apellido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DE4DE8A" w14:textId="77777777" w:rsidR="00214394" w:rsidRPr="009130A0" w:rsidRDefault="00214394" w:rsidP="0021439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En caso de no encontrar al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transferista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favor de marcar al número de emergencia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64D8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Es indispensable contar con </w:t>
      </w:r>
      <w:r w:rsidRPr="008B7CEC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una </w:t>
      </w:r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SIM </w:t>
      </w:r>
      <w:proofErr w:type="spellStart"/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card</w:t>
      </w:r>
      <w:proofErr w:type="spellEnd"/>
      <w:r w:rsidRPr="00E064D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o línea activa</w:t>
      </w:r>
      <w:r w:rsidRPr="00E064D8">
        <w:rPr>
          <w:rFonts w:asciiTheme="minorHAnsi" w:hAnsiTheme="minorHAnsi" w:cstheme="minorHAnsi"/>
          <w:iCs/>
          <w:color w:val="002060"/>
          <w:sz w:val="20"/>
          <w:szCs w:val="20"/>
          <w:u w:val="single"/>
        </w:rPr>
        <w:t xml:space="preserve"> que permita realizar llamadas locales en Turquía</w:t>
      </w:r>
    </w:p>
    <w:p w14:paraId="203A03CA" w14:textId="77777777" w:rsidR="00214394" w:rsidRPr="009130A0" w:rsidRDefault="00214394" w:rsidP="00214394">
      <w:pPr>
        <w:pStyle w:val="Prrafodelista"/>
        <w:numPr>
          <w:ilvl w:val="0"/>
          <w:numId w:val="20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TURQUÍA. OTRAS NACIONALIDADES FAVOR DE CONSULTAR CON EL CONSULADO CORRESPONDIENTE</w:t>
      </w:r>
    </w:p>
    <w:p w14:paraId="789FD99A" w14:textId="77777777" w:rsidR="0019620E" w:rsidRPr="009130A0" w:rsidRDefault="0019620E" w:rsidP="0019620E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</w:p>
    <w:p w14:paraId="276BCEDA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Debido a la peatonalización de calles en Estambul y el tráfico pesado por las tardes, el punto de descenso (</w:t>
      </w:r>
      <w:proofErr w:type="spellStart"/>
      <w:r w:rsidRPr="00D9062F">
        <w:rPr>
          <w:rFonts w:asciiTheme="minorHAnsi" w:hAnsiTheme="minorHAnsi" w:cstheme="minorHAnsi"/>
          <w:sz w:val="20"/>
          <w:szCs w:val="20"/>
        </w:rPr>
        <w:t>drop</w:t>
      </w:r>
      <w:proofErr w:type="spellEnd"/>
      <w:r w:rsidRPr="00D9062F">
        <w:rPr>
          <w:rFonts w:asciiTheme="minorHAnsi" w:hAnsiTheme="minorHAnsi" w:cstheme="minorHAnsi"/>
          <w:sz w:val="20"/>
          <w:szCs w:val="20"/>
        </w:rPr>
        <w:t xml:space="preserve"> off) al finalizar las excursiones no será en cada hotel. Por la </w:t>
      </w:r>
      <w:r w:rsidRPr="00D9062F">
        <w:rPr>
          <w:rStyle w:val="Textoennegrita"/>
          <w:rFonts w:asciiTheme="minorHAnsi" w:eastAsiaTheme="majorEastAsia" w:hAnsiTheme="minorHAnsi" w:cstheme="minorHAnsi"/>
          <w:sz w:val="20"/>
          <w:szCs w:val="20"/>
        </w:rPr>
        <w:t>mañana</w:t>
      </w:r>
      <w:r w:rsidRPr="00D9062F">
        <w:rPr>
          <w:rFonts w:asciiTheme="minorHAnsi" w:hAnsiTheme="minorHAnsi" w:cstheme="minorHAnsi"/>
          <w:sz w:val="20"/>
          <w:szCs w:val="20"/>
        </w:rPr>
        <w:t>, los pasajeros serán recogidos en sus respectivos hoteles.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9062F">
        <w:rPr>
          <w:rFonts w:asciiTheme="minorHAnsi" w:hAnsiTheme="minorHAnsi" w:cstheme="minorHAnsi"/>
          <w:sz w:val="20"/>
          <w:szCs w:val="20"/>
        </w:rPr>
        <w:t xml:space="preserve">Por la </w:t>
      </w:r>
      <w:r w:rsidRPr="00D9062F">
        <w:rPr>
          <w:rStyle w:val="Textoennegrita"/>
          <w:rFonts w:asciiTheme="minorHAnsi" w:eastAsiaTheme="majorEastAsia" w:hAnsiTheme="minorHAnsi" w:cstheme="minorHAnsi"/>
          <w:sz w:val="20"/>
          <w:szCs w:val="20"/>
        </w:rPr>
        <w:t>tarde</w:t>
      </w:r>
      <w:r w:rsidRPr="00D9062F">
        <w:rPr>
          <w:rFonts w:asciiTheme="minorHAnsi" w:hAnsiTheme="minorHAnsi" w:cstheme="minorHAnsi"/>
          <w:sz w:val="20"/>
          <w:szCs w:val="20"/>
        </w:rPr>
        <w:t>, los puntos de descenso serán:</w:t>
      </w:r>
    </w:p>
    <w:p w14:paraId="6DEB35DE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737E7A16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(día completo)</w:t>
      </w:r>
    </w:p>
    <w:p w14:paraId="561E8252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Gran Bazar.</w:t>
      </w:r>
    </w:p>
    <w:p w14:paraId="6B7A6605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1A8ACAD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jc w:val="both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4EF54130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(medio día)</w:t>
      </w:r>
    </w:p>
    <w:p w14:paraId="31D2AE32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antigua: Plaza de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Sultanahmet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7A71933F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722AC4FB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6DD3BD01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(día completo)</w:t>
      </w:r>
    </w:p>
    <w:p w14:paraId="6F06B7E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Zona del bazar de las especias.</w:t>
      </w:r>
    </w:p>
    <w:p w14:paraId="6FC96849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1CB2BD38" w14:textId="77777777" w:rsidR="0019620E" w:rsidRPr="00771FF3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1011DB3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(medio día)</w:t>
      </w:r>
    </w:p>
    <w:p w14:paraId="1812DC71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Para los pasajeros que se alojen en la parte antigua: el Bazar Egipcio (también conocido como el Bazar de las Especias)</w:t>
      </w:r>
    </w:p>
    <w:p w14:paraId="269F9546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32E5713" w14:textId="77777777" w:rsidR="0019620E" w:rsidRPr="00D9062F" w:rsidRDefault="0019620E" w:rsidP="001962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lang w:eastAsia="tr-TR"/>
        </w:rPr>
      </w:pPr>
    </w:p>
    <w:p w14:paraId="2BF31073" w14:textId="26CADD60" w:rsidR="0019620E" w:rsidRDefault="0019620E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65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428"/>
        <w:gridCol w:w="3543"/>
        <w:gridCol w:w="546"/>
      </w:tblGrid>
      <w:tr w:rsidR="00D52056" w:rsidRPr="00D52056" w14:paraId="11466AD7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34FBB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D52056" w:rsidRPr="00D52056" w14:paraId="7E44D35A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D6C88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8C1D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10981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72F4" w14:textId="77777777" w:rsidR="00D52056" w:rsidRPr="00D52056" w:rsidRDefault="00D52056" w:rsidP="00D5205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52056" w:rsidRPr="00D52056" w14:paraId="3B07637C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64C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2FC2A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0A6D5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LAMARTINE/ RIVA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0F79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5EF1E0FD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4D50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B18E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276F8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BARCELÓ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ACE87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52056" w:rsidRPr="00D52056" w14:paraId="20D9C7C1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142D9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E38C0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40741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RADISSON BLU / LATANYA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700E3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0D176061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0EEEF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2D07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CAPADOCIA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B3618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PERISSIA / DINLER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6F450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4CF3DBFB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92F5F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B29F4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53256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LYCUS RIVER / COLOSSAE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8C5AB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252C2FA7" w14:textId="77777777" w:rsidTr="00D52056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B0DA1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6A8C3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KUSADASI </w:t>
            </w: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br/>
              <w:t xml:space="preserve">o </w:t>
            </w: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br/>
              <w:t>IZMIR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216D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KORUMAR / CHARISMA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00B3E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D52056" w:rsidRPr="00D52056" w14:paraId="38E9DAC2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E340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CFF6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4F5AC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9123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</w:tr>
      <w:tr w:rsidR="00D52056" w:rsidRPr="00D52056" w14:paraId="186C17FE" w14:textId="77777777" w:rsidTr="00D52056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25A8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8E6D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BB0C2" w14:textId="77777777" w:rsidR="00D52056" w:rsidRPr="00D52056" w:rsidRDefault="00D52056" w:rsidP="00D52056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D52056">
              <w:rPr>
                <w:rFonts w:ascii="Calibri" w:hAnsi="Calibri"/>
                <w:sz w:val="20"/>
                <w:szCs w:val="20"/>
                <w:lang w:val="es-MX" w:eastAsia="es-MX"/>
              </w:rPr>
              <w:t xml:space="preserve">KAYA PRESTIGE / KATA THERMAL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CF0E" w14:textId="77777777" w:rsidR="00D52056" w:rsidRPr="00D52056" w:rsidRDefault="00D52056" w:rsidP="00D52056">
            <w:pPr>
              <w:rPr>
                <w:rFonts w:ascii="Calibri" w:hAnsi="Calibri"/>
                <w:sz w:val="20"/>
                <w:szCs w:val="20"/>
                <w:lang w:val="es-MX" w:eastAsia="es-MX"/>
              </w:rPr>
            </w:pPr>
          </w:p>
        </w:tc>
      </w:tr>
    </w:tbl>
    <w:p w14:paraId="6F791820" w14:textId="6E21038A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29"/>
        <w:gridCol w:w="3553"/>
        <w:gridCol w:w="432"/>
      </w:tblGrid>
      <w:tr w:rsidR="00DD63C3" w:rsidRPr="00DD63C3" w14:paraId="6135C36F" w14:textId="77777777" w:rsidTr="00DD63C3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C509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DD63C3" w:rsidRPr="00DD63C3" w14:paraId="3396B8C5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75901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E79D7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51E53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1B3D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D63C3" w:rsidRPr="00DD63C3" w14:paraId="58A92D44" w14:textId="77777777" w:rsidTr="00DD63C3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B2D97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0D365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AA5DB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LAMARTINE/ RIVA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98613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TP</w:t>
            </w:r>
          </w:p>
        </w:tc>
      </w:tr>
      <w:tr w:rsidR="00DD63C3" w:rsidRPr="00DD63C3" w14:paraId="667C33D4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638A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9D2A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F5429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BARCELÓ (hab. estándar)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C8522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DD63C3" w:rsidRPr="00DD63C3" w14:paraId="222891B3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D3AFC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CAFC2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F99FD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RADISSON BLU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36A10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DD63C3" w:rsidRPr="00DD63C3" w14:paraId="72289C7C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481D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D29F8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FFA18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LATANYA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A2CE2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D63C3" w:rsidRPr="00DD63C3" w14:paraId="6E4209AD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83EB4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A4A65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CAPADOCIA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4D7B6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PERISSIA / AVRASYA / DINLER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444DA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DD63C3" w:rsidRPr="00DD63C3" w14:paraId="58153BC3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A31AC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08F31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PAMUKKALE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22073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COLOSSAE / ADEMPIRA / HIERAPARK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3807E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DD63C3" w:rsidRPr="00DD63C3" w14:paraId="734DF72A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8773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317EE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KUSADASI </w:t>
            </w: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o </w:t>
            </w: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IZMIR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9AE13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KAYA THERMAL / RAMADA PLAZA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7D39D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DD63C3" w:rsidRPr="00DD63C3" w14:paraId="16D9C773" w14:textId="77777777" w:rsidTr="00DD63C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EAE4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DE35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365A1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EAB2E" w14:textId="77777777" w:rsidR="00DD63C3" w:rsidRPr="00DD63C3" w:rsidRDefault="00DD63C3" w:rsidP="00DD63C3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DD63C3" w:rsidRPr="00DD63C3" w14:paraId="78C08323" w14:textId="77777777" w:rsidTr="00DD63C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5420C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93D7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4B89" w14:textId="77777777" w:rsidR="00DD63C3" w:rsidRPr="00DD63C3" w:rsidRDefault="00DD63C3" w:rsidP="00DD63C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KAYA PRESTIGE / DOUBLE TREE ALSANCAK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DBBF4" w14:textId="77777777" w:rsidR="00DD63C3" w:rsidRPr="00DD63C3" w:rsidRDefault="00DD63C3" w:rsidP="00DD63C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D63C3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</w:tbl>
    <w:p w14:paraId="34263AA9" w14:textId="77777777" w:rsidR="00DD63C3" w:rsidRDefault="00DD63C3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452A053E" w14:textId="77777777" w:rsidR="005F2D22" w:rsidRDefault="005F2D22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4A0A4402" w14:textId="77777777" w:rsidR="005F2D22" w:rsidRDefault="005F2D22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79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1193"/>
        <w:gridCol w:w="1189"/>
        <w:gridCol w:w="921"/>
      </w:tblGrid>
      <w:tr w:rsidR="005F2D22" w:rsidRPr="005F2D22" w14:paraId="38A772B0" w14:textId="77777777" w:rsidTr="005F2D22">
        <w:trPr>
          <w:trHeight w:val="29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943B6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F2D22" w:rsidRPr="005F2D22" w14:paraId="70414077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78E0D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F2D22" w:rsidRPr="005F2D22" w14:paraId="31B15A17" w14:textId="77777777" w:rsidTr="005F2D22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31AD5" w14:textId="77777777" w:rsidR="005F2D22" w:rsidRPr="005F2D22" w:rsidRDefault="005F2D22" w:rsidP="005F2D2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15 MARZO 2026 AL 15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90BC3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4FC06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55742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5F2D22" w:rsidRPr="005F2D22" w14:paraId="362CCF8E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9F965" w14:textId="77777777" w:rsidR="005F2D22" w:rsidRPr="005F2D22" w:rsidRDefault="005F2D22" w:rsidP="005F2D2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TURISTA CON PRIMERA EN ESTAMBUL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19E1C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1475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B9348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1385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DF56B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2110</w:t>
            </w:r>
          </w:p>
        </w:tc>
      </w:tr>
      <w:tr w:rsidR="005F2D22" w:rsidRPr="005F2D22" w14:paraId="64641EAA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35193" w14:textId="77777777" w:rsidR="005F2D22" w:rsidRPr="005F2D22" w:rsidRDefault="005F2D22" w:rsidP="005F2D2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PRIMERA SUPERIOR EN ESTAMBUL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D7030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1690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5979D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1600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62206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sz w:val="20"/>
                <w:szCs w:val="20"/>
                <w:lang w:val="es-MX" w:eastAsia="es-MX"/>
              </w:rPr>
              <w:t>2525</w:t>
            </w:r>
          </w:p>
        </w:tc>
      </w:tr>
      <w:tr w:rsidR="005F2D22" w:rsidRPr="005F2D22" w14:paraId="476B5105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93B78" w14:textId="77777777" w:rsidR="005F2D22" w:rsidRPr="005F2D22" w:rsidRDefault="005F2D22" w:rsidP="005F2D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F2D2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CONGRESOS O EVENTOS ESPECIALES. NAVIDAD, FIN DE AÑO, SEMANA SANTA. CONSULTAR SUPLEMENTO. </w:t>
            </w:r>
            <w:r w:rsidRPr="005F2D2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15 NOVIEMBRE 2026</w:t>
            </w:r>
          </w:p>
        </w:tc>
      </w:tr>
      <w:tr w:rsidR="005F2D22" w:rsidRPr="005F2D22" w14:paraId="329C9888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1257" w14:textId="77777777" w:rsidR="005F2D22" w:rsidRPr="005F2D22" w:rsidRDefault="005F2D22" w:rsidP="005F2D2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F2D22" w:rsidRPr="005F2D22" w14:paraId="21AF3C42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55E0" w14:textId="77777777" w:rsidR="005F2D22" w:rsidRPr="005F2D22" w:rsidRDefault="005F2D22" w:rsidP="005F2D2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F2D22" w:rsidRPr="005F2D22" w14:paraId="632EE458" w14:textId="77777777" w:rsidTr="005F2D22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6733" w14:textId="77777777" w:rsidR="005F2D22" w:rsidRPr="005F2D22" w:rsidRDefault="005F2D22" w:rsidP="005F2D2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66EABB9" w14:textId="77777777" w:rsidR="005F2D22" w:rsidRDefault="005F2D22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4E43B3B4" w14:textId="6F2982F1" w:rsidR="00D52056" w:rsidRDefault="007E7CF8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3663A5F" wp14:editId="15F25BC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67AB7" w14:textId="507DE592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p w14:paraId="64CA875C" w14:textId="48B7BBF9" w:rsidR="00D52056" w:rsidRDefault="00D52056" w:rsidP="007749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s-MX"/>
        </w:rPr>
      </w:pPr>
    </w:p>
    <w:tbl>
      <w:tblPr>
        <w:tblW w:w="75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876"/>
      </w:tblGrid>
      <w:tr w:rsidR="00AA2114" w:rsidRPr="00AA2114" w14:paraId="1401F51A" w14:textId="77777777" w:rsidTr="00AA2114">
        <w:trPr>
          <w:trHeight w:val="28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6867B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AA2114" w:rsidRPr="00AA2114" w14:paraId="7C97C85D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4A6CF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DBL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02E29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340</w:t>
            </w:r>
          </w:p>
        </w:tc>
      </w:tr>
      <w:tr w:rsidR="00AA2114" w:rsidRPr="00AA2114" w14:paraId="7164B865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E8015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TPL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49FD7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A2114" w:rsidRPr="00AA2114" w14:paraId="4667F6F1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EADC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en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Solem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Cave Suites-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Deluxe. Prime SGL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8D09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530</w:t>
            </w:r>
          </w:p>
        </w:tc>
      </w:tr>
      <w:tr w:rsidR="00AA2114" w:rsidRPr="00AA2114" w14:paraId="7E295065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96893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Hotel cueva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Kayakapi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Premium Caves 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 DBL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D8DE4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AA2114" w:rsidRPr="00AA2114" w14:paraId="15A05AA2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E3A77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por alojamiento Hotel cueva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Kayakapi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Premium Caves -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 SGL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59FC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AA2114" w:rsidRPr="00AA2114" w14:paraId="000FA490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1C68D" w14:textId="77777777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Traslados por persona y por trayecto con asistencia desde apto (IST) - hotel parte europea, aplica sólo si se añade noche previa o posterior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AF6EC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AA2114" w:rsidRPr="00AA2114" w14:paraId="31641FB4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8E048" w14:textId="042E3DB4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Traslados por persona y por trayecto con asistencia desde apto (SAW) - hotel parte </w:t>
            </w:r>
            <w:r w:rsidR="001114D3"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asiática</w:t>
            </w: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aplica sólo si se añade noche previa o posterior 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11E4D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AA2114" w:rsidRPr="00AA2114" w14:paraId="03279302" w14:textId="77777777" w:rsidTr="00AA2114">
        <w:trPr>
          <w:trHeight w:val="282"/>
          <w:tblCellSpacing w:w="0" w:type="dxa"/>
          <w:jc w:val="center"/>
        </w:trPr>
        <w:tc>
          <w:tcPr>
            <w:tcW w:w="6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0AEA" w14:textId="4CF77A7B" w:rsidR="00AA2114" w:rsidRPr="00AA2114" w:rsidRDefault="00AA2114" w:rsidP="00AA21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Visita de la ciudad (</w:t>
            </w:r>
            <w:r w:rsidR="001114D3"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completo con almuerzo) sin entrada a </w:t>
            </w:r>
            <w:proofErr w:type="spellStart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Sta</w:t>
            </w:r>
            <w:proofErr w:type="spellEnd"/>
            <w:r w:rsidRPr="00AA21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Sofia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1A3" w14:textId="77777777" w:rsidR="00AA2114" w:rsidRPr="00AA2114" w:rsidRDefault="00AA2114" w:rsidP="00AA21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A21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</w:tbl>
    <w:p w14:paraId="77913D0C" w14:textId="7315E40F" w:rsidR="00795A96" w:rsidRPr="00AE0707" w:rsidRDefault="00A61C7C" w:rsidP="0077491D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</w:pPr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 xml:space="preserve">Nota: Los traslados no son válidos para el puerto. En estos casos, por favor consultar tarifas. El suplemento de hoteles cueva sólo son válidos para un mínimo de 2 pasajeros.  Las cenas NO </w:t>
      </w:r>
      <w:proofErr w:type="spellStart"/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>estan</w:t>
      </w:r>
      <w:proofErr w:type="spellEnd"/>
      <w:r w:rsidRPr="00AE0707">
        <w:rPr>
          <w:rFonts w:asciiTheme="minorHAnsi" w:eastAsia="Calibri" w:hAnsiTheme="minorHAnsi" w:cs="Arial"/>
          <w:b/>
          <w:bCs/>
          <w:color w:val="002060"/>
          <w:sz w:val="20"/>
          <w:szCs w:val="20"/>
          <w:lang w:eastAsia="es-MX"/>
        </w:rPr>
        <w:t xml:space="preserve"> incluidas en el precio. El precio incluye traslados (sin asistencia) entre el hotel y punto de encuentro para los tours</w:t>
      </w:r>
    </w:p>
    <w:sectPr w:rsidR="00795A96" w:rsidRPr="00AE0707" w:rsidSect="007E7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C2F4A" w14:textId="77777777" w:rsidR="00DC4C61" w:rsidRDefault="00DC4C61" w:rsidP="000D4B74">
      <w:r>
        <w:separator/>
      </w:r>
    </w:p>
  </w:endnote>
  <w:endnote w:type="continuationSeparator" w:id="0">
    <w:p w14:paraId="606F034D" w14:textId="77777777" w:rsidR="00DC4C61" w:rsidRDefault="00DC4C6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2599" w14:textId="77777777" w:rsidR="00C50F65" w:rsidRDefault="00C50F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E4FA" w14:textId="77777777" w:rsidR="00932A7B" w:rsidRDefault="0059304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764FDB" wp14:editId="33E28E0E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76D46C8" id="Rectángulo 6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419E" w14:textId="77777777" w:rsidR="00C50F65" w:rsidRDefault="00C50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4F38F" w14:textId="77777777" w:rsidR="00DC4C61" w:rsidRDefault="00DC4C61" w:rsidP="000D4B74">
      <w:r>
        <w:separator/>
      </w:r>
    </w:p>
  </w:footnote>
  <w:footnote w:type="continuationSeparator" w:id="0">
    <w:p w14:paraId="38990E9C" w14:textId="77777777" w:rsidR="00DC4C61" w:rsidRDefault="00DC4C6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89BD" w14:textId="77777777" w:rsidR="00C50F65" w:rsidRDefault="00C50F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0B3B" w14:textId="748B19A4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6B3A8C1" wp14:editId="6643275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00D970" w14:textId="38195573" w:rsidR="002D41EB" w:rsidRPr="00AB3BA9" w:rsidRDefault="002D41EB" w:rsidP="002D41EB">
                          <w:pPr>
                            <w:pStyle w:val="Sinespaciado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TURQUÍA MAGNÍFICA </w:t>
                          </w:r>
                        </w:p>
                        <w:p w14:paraId="0CA24075" w14:textId="326F6EE1" w:rsidR="002D41EB" w:rsidRPr="006210F5" w:rsidRDefault="002D41EB" w:rsidP="002D41EB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2323-C202</w:t>
                          </w:r>
                          <w:r w:rsidR="00C50F6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78F86C5" w14:textId="77777777" w:rsidR="002D41EB" w:rsidRPr="0002598A" w:rsidRDefault="002D41EB" w:rsidP="002D41EB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3A8C1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500D970" w14:textId="38195573" w:rsidR="002D41EB" w:rsidRPr="00AB3BA9" w:rsidRDefault="002D41EB" w:rsidP="002D41EB">
                    <w:pPr>
                      <w:pStyle w:val="Sinespaciado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TURQUÍA MAGNÍFICA </w:t>
                    </w:r>
                  </w:p>
                  <w:p w14:paraId="0CA24075" w14:textId="326F6EE1" w:rsidR="002D41EB" w:rsidRPr="006210F5" w:rsidRDefault="002D41EB" w:rsidP="002D41EB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2323-C202</w:t>
                    </w:r>
                    <w:r w:rsidR="00C50F6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78F86C5" w14:textId="77777777" w:rsidR="002D41EB" w:rsidRPr="0002598A" w:rsidRDefault="002D41EB" w:rsidP="002D41EB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66A529FF" wp14:editId="694912E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3367C82B" wp14:editId="2F76EAB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5C434" w14:textId="1763AF27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40182FB7" wp14:editId="79FA9415">
          <wp:simplePos x="0" y="0"/>
          <wp:positionH relativeFrom="column">
            <wp:posOffset>3470910</wp:posOffset>
          </wp:positionH>
          <wp:positionV relativeFrom="paragraph">
            <wp:posOffset>5715</wp:posOffset>
          </wp:positionV>
          <wp:extent cx="923925" cy="614931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1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4DCB4" w14:textId="77777777" w:rsidR="002D41EB" w:rsidRDefault="002D41EB" w:rsidP="002D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2E3F0B3C" w14:textId="4E148A0C" w:rsidR="00386E61" w:rsidRPr="002D41EB" w:rsidRDefault="00386E61" w:rsidP="002D41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D125" w14:textId="77777777" w:rsidR="00C50F65" w:rsidRDefault="00C50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5pt;height:14.5pt" o:bullet="t">
        <v:imagedata r:id="rId1" o:title="mso88"/>
      </v:shape>
    </w:pict>
  </w:numPicBullet>
  <w:numPicBullet w:numPicBulletId="1">
    <w:pict>
      <v:shape id="_x0000_i1037" type="#_x0000_t75" style="width:928.5pt;height:1202.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AC949B9"/>
    <w:multiLevelType w:val="hybridMultilevel"/>
    <w:tmpl w:val="58E01FFE"/>
    <w:lvl w:ilvl="0" w:tplc="831407AA">
      <w:start w:val="23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77DF0"/>
    <w:multiLevelType w:val="multilevel"/>
    <w:tmpl w:val="5074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7"/>
  </w:num>
  <w:num w:numId="12">
    <w:abstractNumId w:val="5"/>
  </w:num>
  <w:num w:numId="13">
    <w:abstractNumId w:val="15"/>
  </w:num>
  <w:num w:numId="14">
    <w:abstractNumId w:val="15"/>
  </w:num>
  <w:num w:numId="15">
    <w:abstractNumId w:val="13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26BC9"/>
    <w:rsid w:val="00027876"/>
    <w:rsid w:val="00056368"/>
    <w:rsid w:val="00066A78"/>
    <w:rsid w:val="000863CE"/>
    <w:rsid w:val="000878C4"/>
    <w:rsid w:val="00093DC1"/>
    <w:rsid w:val="000A713A"/>
    <w:rsid w:val="000B78A5"/>
    <w:rsid w:val="000D4B74"/>
    <w:rsid w:val="000E0E14"/>
    <w:rsid w:val="000E60F6"/>
    <w:rsid w:val="001000AB"/>
    <w:rsid w:val="00102409"/>
    <w:rsid w:val="0010742B"/>
    <w:rsid w:val="001114D3"/>
    <w:rsid w:val="00117607"/>
    <w:rsid w:val="001202C0"/>
    <w:rsid w:val="0014613C"/>
    <w:rsid w:val="00151503"/>
    <w:rsid w:val="00176479"/>
    <w:rsid w:val="00177305"/>
    <w:rsid w:val="00182C6E"/>
    <w:rsid w:val="0019392F"/>
    <w:rsid w:val="0019620E"/>
    <w:rsid w:val="00196F04"/>
    <w:rsid w:val="001A68C6"/>
    <w:rsid w:val="001B4B19"/>
    <w:rsid w:val="00200F30"/>
    <w:rsid w:val="00205CBE"/>
    <w:rsid w:val="0020722E"/>
    <w:rsid w:val="00210321"/>
    <w:rsid w:val="00214394"/>
    <w:rsid w:val="0022746B"/>
    <w:rsid w:val="00230544"/>
    <w:rsid w:val="00236E3A"/>
    <w:rsid w:val="00243515"/>
    <w:rsid w:val="0024410C"/>
    <w:rsid w:val="002457B6"/>
    <w:rsid w:val="00254BD3"/>
    <w:rsid w:val="00261A87"/>
    <w:rsid w:val="00263EDF"/>
    <w:rsid w:val="00266C66"/>
    <w:rsid w:val="002704A2"/>
    <w:rsid w:val="00272C3F"/>
    <w:rsid w:val="00277F19"/>
    <w:rsid w:val="00281AD5"/>
    <w:rsid w:val="00281C23"/>
    <w:rsid w:val="00292ADA"/>
    <w:rsid w:val="002A2E4A"/>
    <w:rsid w:val="002D41EB"/>
    <w:rsid w:val="002F3B73"/>
    <w:rsid w:val="00324962"/>
    <w:rsid w:val="0032537C"/>
    <w:rsid w:val="003420F1"/>
    <w:rsid w:val="00345075"/>
    <w:rsid w:val="003507A5"/>
    <w:rsid w:val="00362545"/>
    <w:rsid w:val="00365535"/>
    <w:rsid w:val="0036691E"/>
    <w:rsid w:val="00382B19"/>
    <w:rsid w:val="00386E61"/>
    <w:rsid w:val="00391009"/>
    <w:rsid w:val="003A6C05"/>
    <w:rsid w:val="003B0250"/>
    <w:rsid w:val="003B5E4D"/>
    <w:rsid w:val="003C7B2D"/>
    <w:rsid w:val="003E1BF0"/>
    <w:rsid w:val="003E6F0A"/>
    <w:rsid w:val="003F0094"/>
    <w:rsid w:val="00412EB1"/>
    <w:rsid w:val="00416B6F"/>
    <w:rsid w:val="00417444"/>
    <w:rsid w:val="00424E33"/>
    <w:rsid w:val="00425F2C"/>
    <w:rsid w:val="004336DB"/>
    <w:rsid w:val="00434F6F"/>
    <w:rsid w:val="00440AB6"/>
    <w:rsid w:val="00476C97"/>
    <w:rsid w:val="004816AF"/>
    <w:rsid w:val="00481E45"/>
    <w:rsid w:val="00490CE1"/>
    <w:rsid w:val="004A0ED1"/>
    <w:rsid w:val="004B0F54"/>
    <w:rsid w:val="004B1D3E"/>
    <w:rsid w:val="004B32B9"/>
    <w:rsid w:val="004C3D9D"/>
    <w:rsid w:val="004C5B97"/>
    <w:rsid w:val="004D6CE5"/>
    <w:rsid w:val="005079AD"/>
    <w:rsid w:val="00513305"/>
    <w:rsid w:val="005160E8"/>
    <w:rsid w:val="005164A6"/>
    <w:rsid w:val="00521688"/>
    <w:rsid w:val="005352A8"/>
    <w:rsid w:val="00540716"/>
    <w:rsid w:val="00545CA5"/>
    <w:rsid w:val="00551A63"/>
    <w:rsid w:val="00552FE2"/>
    <w:rsid w:val="00561603"/>
    <w:rsid w:val="00576949"/>
    <w:rsid w:val="00584E25"/>
    <w:rsid w:val="00585204"/>
    <w:rsid w:val="005928EF"/>
    <w:rsid w:val="00593044"/>
    <w:rsid w:val="005A4824"/>
    <w:rsid w:val="005A56C8"/>
    <w:rsid w:val="005B580A"/>
    <w:rsid w:val="005B707D"/>
    <w:rsid w:val="005C35AA"/>
    <w:rsid w:val="005C6821"/>
    <w:rsid w:val="005D148C"/>
    <w:rsid w:val="005D5A0A"/>
    <w:rsid w:val="005F2D22"/>
    <w:rsid w:val="005F3655"/>
    <w:rsid w:val="0060374D"/>
    <w:rsid w:val="00610209"/>
    <w:rsid w:val="00644781"/>
    <w:rsid w:val="0065253E"/>
    <w:rsid w:val="00653DC0"/>
    <w:rsid w:val="00657285"/>
    <w:rsid w:val="00671FF6"/>
    <w:rsid w:val="0067245C"/>
    <w:rsid w:val="00677139"/>
    <w:rsid w:val="006868BA"/>
    <w:rsid w:val="00691FD3"/>
    <w:rsid w:val="00693B4B"/>
    <w:rsid w:val="006A2132"/>
    <w:rsid w:val="006B0041"/>
    <w:rsid w:val="006B0963"/>
    <w:rsid w:val="006D2BF0"/>
    <w:rsid w:val="006D624D"/>
    <w:rsid w:val="006D757F"/>
    <w:rsid w:val="006E6E25"/>
    <w:rsid w:val="006F33D6"/>
    <w:rsid w:val="007077F1"/>
    <w:rsid w:val="00707C6F"/>
    <w:rsid w:val="007142A4"/>
    <w:rsid w:val="00715157"/>
    <w:rsid w:val="00720AA7"/>
    <w:rsid w:val="007213F1"/>
    <w:rsid w:val="007348F9"/>
    <w:rsid w:val="0074476C"/>
    <w:rsid w:val="00745B4D"/>
    <w:rsid w:val="00755989"/>
    <w:rsid w:val="00761926"/>
    <w:rsid w:val="00764B31"/>
    <w:rsid w:val="00772E37"/>
    <w:rsid w:val="0077491D"/>
    <w:rsid w:val="0078626B"/>
    <w:rsid w:val="00787154"/>
    <w:rsid w:val="00791752"/>
    <w:rsid w:val="00795A96"/>
    <w:rsid w:val="007B18E9"/>
    <w:rsid w:val="007E30AB"/>
    <w:rsid w:val="007E7CF8"/>
    <w:rsid w:val="007F267C"/>
    <w:rsid w:val="007F30D1"/>
    <w:rsid w:val="007F57C0"/>
    <w:rsid w:val="007F789C"/>
    <w:rsid w:val="00805A7C"/>
    <w:rsid w:val="0081420B"/>
    <w:rsid w:val="00824CE6"/>
    <w:rsid w:val="00827341"/>
    <w:rsid w:val="0083663A"/>
    <w:rsid w:val="008368BF"/>
    <w:rsid w:val="00842497"/>
    <w:rsid w:val="008459CB"/>
    <w:rsid w:val="00846D90"/>
    <w:rsid w:val="00851DB8"/>
    <w:rsid w:val="00851FF4"/>
    <w:rsid w:val="00870A97"/>
    <w:rsid w:val="0088241C"/>
    <w:rsid w:val="008B1270"/>
    <w:rsid w:val="008F454A"/>
    <w:rsid w:val="008F6F65"/>
    <w:rsid w:val="00905A62"/>
    <w:rsid w:val="00910270"/>
    <w:rsid w:val="00914E7F"/>
    <w:rsid w:val="0092085C"/>
    <w:rsid w:val="00932A7B"/>
    <w:rsid w:val="009355DC"/>
    <w:rsid w:val="00953AD9"/>
    <w:rsid w:val="009615D5"/>
    <w:rsid w:val="00972428"/>
    <w:rsid w:val="00986A1D"/>
    <w:rsid w:val="009918FD"/>
    <w:rsid w:val="009A38C0"/>
    <w:rsid w:val="009D739E"/>
    <w:rsid w:val="009E4238"/>
    <w:rsid w:val="009F2E01"/>
    <w:rsid w:val="009F5717"/>
    <w:rsid w:val="00A03DB9"/>
    <w:rsid w:val="00A14E4D"/>
    <w:rsid w:val="00A339AE"/>
    <w:rsid w:val="00A354C4"/>
    <w:rsid w:val="00A4361C"/>
    <w:rsid w:val="00A45D38"/>
    <w:rsid w:val="00A5102B"/>
    <w:rsid w:val="00A57DA9"/>
    <w:rsid w:val="00A6028E"/>
    <w:rsid w:val="00A61C7C"/>
    <w:rsid w:val="00A80B5F"/>
    <w:rsid w:val="00A81365"/>
    <w:rsid w:val="00AA2114"/>
    <w:rsid w:val="00AA28FE"/>
    <w:rsid w:val="00AB707F"/>
    <w:rsid w:val="00AC035A"/>
    <w:rsid w:val="00AC59A0"/>
    <w:rsid w:val="00AD739A"/>
    <w:rsid w:val="00AE0707"/>
    <w:rsid w:val="00AE1E08"/>
    <w:rsid w:val="00AE7AD1"/>
    <w:rsid w:val="00AF4EF9"/>
    <w:rsid w:val="00B040DA"/>
    <w:rsid w:val="00B1776F"/>
    <w:rsid w:val="00B27AA1"/>
    <w:rsid w:val="00B36B33"/>
    <w:rsid w:val="00B466CF"/>
    <w:rsid w:val="00B47EB8"/>
    <w:rsid w:val="00B56319"/>
    <w:rsid w:val="00B607B2"/>
    <w:rsid w:val="00B63F69"/>
    <w:rsid w:val="00B736F5"/>
    <w:rsid w:val="00B85815"/>
    <w:rsid w:val="00B86FC5"/>
    <w:rsid w:val="00B937CE"/>
    <w:rsid w:val="00B94AD4"/>
    <w:rsid w:val="00BA2A4B"/>
    <w:rsid w:val="00BC1D67"/>
    <w:rsid w:val="00BC2BFB"/>
    <w:rsid w:val="00BC41B2"/>
    <w:rsid w:val="00BD16B0"/>
    <w:rsid w:val="00BD68BB"/>
    <w:rsid w:val="00BD729E"/>
    <w:rsid w:val="00BE2332"/>
    <w:rsid w:val="00C00105"/>
    <w:rsid w:val="00C17BCB"/>
    <w:rsid w:val="00C23D23"/>
    <w:rsid w:val="00C319E9"/>
    <w:rsid w:val="00C37D27"/>
    <w:rsid w:val="00C40582"/>
    <w:rsid w:val="00C44FE1"/>
    <w:rsid w:val="00C50F65"/>
    <w:rsid w:val="00C533A9"/>
    <w:rsid w:val="00C558C2"/>
    <w:rsid w:val="00C63CF3"/>
    <w:rsid w:val="00C64A53"/>
    <w:rsid w:val="00C65ECC"/>
    <w:rsid w:val="00C725A0"/>
    <w:rsid w:val="00C774C6"/>
    <w:rsid w:val="00C9494A"/>
    <w:rsid w:val="00C957D4"/>
    <w:rsid w:val="00CB7952"/>
    <w:rsid w:val="00CD4A74"/>
    <w:rsid w:val="00CE7DD4"/>
    <w:rsid w:val="00D0503F"/>
    <w:rsid w:val="00D21D57"/>
    <w:rsid w:val="00D2489F"/>
    <w:rsid w:val="00D33978"/>
    <w:rsid w:val="00D45B8F"/>
    <w:rsid w:val="00D52056"/>
    <w:rsid w:val="00D52FD6"/>
    <w:rsid w:val="00D55FB0"/>
    <w:rsid w:val="00D76DEC"/>
    <w:rsid w:val="00D909CA"/>
    <w:rsid w:val="00D96120"/>
    <w:rsid w:val="00D972F3"/>
    <w:rsid w:val="00DB5762"/>
    <w:rsid w:val="00DC4C61"/>
    <w:rsid w:val="00DD26FA"/>
    <w:rsid w:val="00DD2FA9"/>
    <w:rsid w:val="00DD63C3"/>
    <w:rsid w:val="00DE04BE"/>
    <w:rsid w:val="00DE5B28"/>
    <w:rsid w:val="00E10326"/>
    <w:rsid w:val="00E107E6"/>
    <w:rsid w:val="00E30667"/>
    <w:rsid w:val="00E360AE"/>
    <w:rsid w:val="00E40791"/>
    <w:rsid w:val="00E4282F"/>
    <w:rsid w:val="00E613AD"/>
    <w:rsid w:val="00E634F1"/>
    <w:rsid w:val="00E63A7A"/>
    <w:rsid w:val="00E63F41"/>
    <w:rsid w:val="00E64860"/>
    <w:rsid w:val="00E82E1B"/>
    <w:rsid w:val="00E90844"/>
    <w:rsid w:val="00E94454"/>
    <w:rsid w:val="00E97D43"/>
    <w:rsid w:val="00EB05D5"/>
    <w:rsid w:val="00EB7509"/>
    <w:rsid w:val="00EC3F09"/>
    <w:rsid w:val="00EC7A8F"/>
    <w:rsid w:val="00ED0B78"/>
    <w:rsid w:val="00ED71BB"/>
    <w:rsid w:val="00ED7860"/>
    <w:rsid w:val="00ED7C08"/>
    <w:rsid w:val="00EE0C1E"/>
    <w:rsid w:val="00EE79C0"/>
    <w:rsid w:val="00F05934"/>
    <w:rsid w:val="00F1356C"/>
    <w:rsid w:val="00F14E79"/>
    <w:rsid w:val="00F17514"/>
    <w:rsid w:val="00F24070"/>
    <w:rsid w:val="00F252D8"/>
    <w:rsid w:val="00F36916"/>
    <w:rsid w:val="00F445E5"/>
    <w:rsid w:val="00F46B81"/>
    <w:rsid w:val="00F610FC"/>
    <w:rsid w:val="00F71FCD"/>
    <w:rsid w:val="00F86B72"/>
    <w:rsid w:val="00F876C3"/>
    <w:rsid w:val="00F94879"/>
    <w:rsid w:val="00FD2E31"/>
    <w:rsid w:val="00FD3695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2C55A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3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Textoindependiente">
    <w:name w:val="Body Text"/>
    <w:basedOn w:val="Normal"/>
    <w:link w:val="TextoindependienteCar"/>
    <w:semiHidden/>
    <w:rsid w:val="00272C3F"/>
    <w:rPr>
      <w:lang w:val="en-US" w:eastAsia="tr-T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2C3F"/>
    <w:rPr>
      <w:rFonts w:ascii="Times New Roman" w:eastAsia="Times New Roman" w:hAnsi="Times New Roman"/>
      <w:sz w:val="24"/>
      <w:szCs w:val="24"/>
      <w:lang w:val="en-US" w:eastAsia="tr-TR"/>
    </w:rPr>
  </w:style>
  <w:style w:type="character" w:customStyle="1" w:styleId="normaltextrun">
    <w:name w:val="normaltextrun"/>
    <w:basedOn w:val="Fuentedeprrafopredeter"/>
    <w:rsid w:val="00272C3F"/>
  </w:style>
  <w:style w:type="paragraph" w:styleId="Prrafodelista">
    <w:name w:val="List Paragraph"/>
    <w:basedOn w:val="Normal"/>
    <w:uiPriority w:val="1"/>
    <w:qFormat/>
    <w:rsid w:val="006A213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17444"/>
    <w:rPr>
      <w:b/>
      <w:bCs/>
    </w:rPr>
  </w:style>
  <w:style w:type="character" w:styleId="nfasis">
    <w:name w:val="Emphasis"/>
    <w:basedOn w:val="Fuentedeprrafopredeter"/>
    <w:uiPriority w:val="20"/>
    <w:qFormat/>
    <w:rsid w:val="002D41E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E30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7E30AB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7E30AB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7E30AB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7E30AB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8903-E9A8-4D2D-A343-7E89720C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1346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108</cp:revision>
  <dcterms:created xsi:type="dcterms:W3CDTF">2024-12-30T23:21:00Z</dcterms:created>
  <dcterms:modified xsi:type="dcterms:W3CDTF">2026-02-21T01:14:00Z</dcterms:modified>
</cp:coreProperties>
</file>