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674A02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Calgary</w:t>
      </w:r>
      <w:r w:rsidR="005F44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proofErr w:type="spellStart"/>
      <w:r w:rsidR="005F444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Banff</w:t>
      </w:r>
      <w:proofErr w:type="spellEnd"/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754BCA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5F44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5F44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15 de mayo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al 1</w:t>
      </w:r>
      <w:r w:rsidR="005F44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5F44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:rsidR="00924F48" w:rsidRPr="004B442F" w:rsidRDefault="005F444D" w:rsidP="005F444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F444D">
        <w:rPr>
          <w:rFonts w:asciiTheme="minorHAnsi" w:eastAsia="Arial" w:hAnsiTheme="minorHAnsi" w:cstheme="minorHAnsi"/>
          <w:color w:val="002060"/>
          <w:sz w:val="20"/>
        </w:rPr>
        <w:t>Al llegar al aeropuerto internacional de Calgary, traslado independiente 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5F444D">
        <w:rPr>
          <w:rFonts w:asciiTheme="minorHAnsi" w:eastAsia="Arial" w:hAnsiTheme="minorHAnsi" w:cstheme="minorHAnsi"/>
          <w:color w:val="002060"/>
          <w:sz w:val="20"/>
        </w:rPr>
        <w:t>su hotel en el centro de Calgary, donde se registrará para su estancia de 4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5F444D">
        <w:rPr>
          <w:rFonts w:asciiTheme="minorHAnsi" w:eastAsia="Arial" w:hAnsiTheme="minorHAnsi" w:cstheme="minorHAnsi"/>
          <w:color w:val="002060"/>
          <w:sz w:val="20"/>
        </w:rPr>
        <w:t>noches. Dedique tiempo a explorar el área alrededor de su hotel: A menudo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5F444D">
        <w:rPr>
          <w:rFonts w:asciiTheme="minorHAnsi" w:eastAsia="Arial" w:hAnsiTheme="minorHAnsi" w:cstheme="minorHAnsi"/>
          <w:color w:val="002060"/>
          <w:sz w:val="20"/>
        </w:rPr>
        <w:t>los restaurantes locales ofrecen tanto la joya local el bistec de Alberta ‘corte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5F444D">
        <w:rPr>
          <w:rFonts w:asciiTheme="minorHAnsi" w:eastAsia="Arial" w:hAnsiTheme="minorHAnsi" w:cstheme="minorHAnsi"/>
          <w:color w:val="002060"/>
          <w:sz w:val="20"/>
        </w:rPr>
        <w:t>cowboy’, como especialidades de todo el mundo</w:t>
      </w:r>
      <w:r w:rsidR="00754BCA" w:rsidRPr="00754BCA">
        <w:rPr>
          <w:rFonts w:asciiTheme="minorHAnsi" w:eastAsia="Arial" w:hAnsiTheme="minorHAnsi" w:cstheme="minorHAnsi"/>
          <w:color w:val="002060"/>
          <w:sz w:val="20"/>
        </w:rPr>
        <w:t>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:rsidR="00924F48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Disfrute hoy de la excursión de jornada completa por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Bow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Valley. Viaje hacia el Oeste, atravesando las faldas de las montañas, hasta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la aldea de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, situada dentro del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National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Park. Después de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tiempo asignado para almorzar en la ciudad </w:t>
      </w:r>
      <w:r w:rsidRPr="005F444D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(almuerzo no incluido),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recorrido comienza con una visita a las imponentes cataratas de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Bow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Surprise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Corner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donde, tras una curva, se le revelará una de las vistas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más espectaculares y fotografiadas de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. Más tarde, el teleférico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Gondola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le permitirá disfrutar de unas vistas asombrosas, al igual que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vistas desde una pasarela de 1 km de largo y la plataforma de observación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de 360 grados, situada en la cima de la montaña. Regreso a Calgary a última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hora de la tarde</w:t>
      </w:r>
      <w:r w:rsidR="00754BCA" w:rsidRPr="00754BC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B0E2C" w:rsidRPr="00DB0E2C">
        <w:rPr>
          <w:rFonts w:asciiTheme="minorHAnsi" w:hAnsiTheme="minorHAnsi" w:cstheme="minorHAnsi"/>
          <w:b/>
          <w:bCs/>
          <w:color w:val="EE0000"/>
          <w:sz w:val="20"/>
          <w:szCs w:val="20"/>
        </w:rPr>
        <w:t>Servicio en inglés.</w:t>
      </w:r>
      <w:r w:rsidR="00DB0E2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5F444D" w:rsidRPr="005F444D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:rsidR="005F444D" w:rsidRPr="00656FC6" w:rsidRDefault="005F444D" w:rsidP="005F444D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Calgary – </w:t>
      </w:r>
      <w:proofErr w:type="spellStart"/>
      <w:r>
        <w:rPr>
          <w:rFonts w:eastAsia="Arial"/>
          <w:sz w:val="24"/>
          <w:szCs w:val="24"/>
        </w:rPr>
        <w:t>Banff</w:t>
      </w:r>
      <w:proofErr w:type="spellEnd"/>
      <w:r>
        <w:rPr>
          <w:rFonts w:eastAsia="Arial"/>
          <w:sz w:val="24"/>
          <w:szCs w:val="24"/>
        </w:rPr>
        <w:t xml:space="preserve"> – Calgary</w:t>
      </w:r>
    </w:p>
    <w:p w:rsidR="005F444D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5F444D">
        <w:rPr>
          <w:rFonts w:asciiTheme="minorHAnsi" w:hAnsiTheme="minorHAnsi" w:cstheme="minorHAnsi"/>
          <w:color w:val="002060"/>
          <w:sz w:val="20"/>
          <w:szCs w:val="20"/>
        </w:rPr>
        <w:t>Una segunda jornada de excursión le llevará de Calgary a Lake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Louise y al área de Jasper, via</w:t>
      </w:r>
      <w:r>
        <w:rPr>
          <w:rFonts w:asciiTheme="minorHAnsi" w:hAnsiTheme="minorHAnsi" w:cstheme="minorHAnsi"/>
          <w:color w:val="002060"/>
          <w:sz w:val="20"/>
          <w:szCs w:val="20"/>
        </w:rPr>
        <w:t>jan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do a lo largo de la magnífica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Icefields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Parkway, reconocida como una de las carreteras más pintorescas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Norteamérica. Destacan los brillantes tonos turquesa y el impresionante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glaciar del Lake Louise, el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Crowfoot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Glacier, y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Bow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Lake y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Peyto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Lake*. 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llegar al glaciar Columbia, subirá a bordo del poderoso Ice Explorer en su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recorrido hacia una extensa plataforma de hielo, lo suficientemente gruesa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como para enterrar la Torre Eiffel. Luego, camine sobre el Glacier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Skywalk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>: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una pasarela de cristal en curva que se extiende 30 metros hacia fuera desde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la escarpada pared de un acantilado y cuelga sobre el cañón. Disfrutará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un aperitivo ligero y bebidas sin alcohol, así como de un almuerzo caliente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estilo bufé en el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Icefield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 xml:space="preserve"> Glacier Discovery Center de Columbia </w:t>
      </w:r>
      <w:proofErr w:type="spellStart"/>
      <w:r w:rsidRPr="005F444D">
        <w:rPr>
          <w:rFonts w:asciiTheme="minorHAnsi" w:hAnsiTheme="minorHAnsi" w:cstheme="minorHAnsi"/>
          <w:color w:val="002060"/>
          <w:sz w:val="20"/>
          <w:szCs w:val="20"/>
        </w:rPr>
        <w:t>Icefield</w:t>
      </w:r>
      <w:proofErr w:type="spellEnd"/>
      <w:r w:rsidRPr="005F444D">
        <w:rPr>
          <w:rFonts w:asciiTheme="minorHAnsi" w:hAnsiTheme="minorHAnsi" w:cstheme="minorHAnsi"/>
          <w:color w:val="002060"/>
          <w:sz w:val="20"/>
          <w:szCs w:val="20"/>
        </w:rPr>
        <w:t>. Viaje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de regreso a Calgary a media tarde.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C0447" w:rsidRPr="00DB0E2C">
        <w:rPr>
          <w:rFonts w:asciiTheme="minorHAnsi" w:hAnsiTheme="minorHAnsi" w:cstheme="minorHAnsi"/>
          <w:b/>
          <w:bCs/>
          <w:color w:val="EE0000"/>
          <w:sz w:val="20"/>
          <w:szCs w:val="20"/>
        </w:rPr>
        <w:t>Servicio en inglés.</w:t>
      </w:r>
      <w:r w:rsidR="002C044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2C0447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5F444D" w:rsidRPr="00AA04FE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bookmarkEnd w:id="1"/>
    <w:p w:rsidR="00924F48" w:rsidRDefault="005F444D" w:rsidP="005F444D">
      <w:pPr>
        <w:pStyle w:val="textos-itinerario"/>
        <w:spacing w:after="0"/>
        <w:rPr>
          <w:bCs/>
          <w:szCs w:val="20"/>
        </w:rPr>
      </w:pPr>
      <w:r w:rsidRPr="005F444D">
        <w:rPr>
          <w:bCs/>
          <w:szCs w:val="20"/>
        </w:rPr>
        <w:t>*Puede sustituirse a discreción del conductor. Es posible que algunas</w:t>
      </w:r>
      <w:r>
        <w:rPr>
          <w:bCs/>
          <w:szCs w:val="20"/>
        </w:rPr>
        <w:t xml:space="preserve"> </w:t>
      </w:r>
      <w:r w:rsidRPr="005F444D">
        <w:rPr>
          <w:bCs/>
          <w:szCs w:val="20"/>
        </w:rPr>
        <w:t>paradas no estén disponibles debido a la estación del año, las condiciones</w:t>
      </w:r>
      <w:r>
        <w:rPr>
          <w:bCs/>
          <w:szCs w:val="20"/>
        </w:rPr>
        <w:t xml:space="preserve"> </w:t>
      </w:r>
      <w:r w:rsidRPr="005F444D">
        <w:rPr>
          <w:bCs/>
          <w:szCs w:val="20"/>
        </w:rPr>
        <w:t>climáticas o las demoras por tráfico.</w:t>
      </w:r>
    </w:p>
    <w:p w:rsidR="005F444D" w:rsidRDefault="005F444D" w:rsidP="005F444D">
      <w:pPr>
        <w:pStyle w:val="textos-itinerario"/>
        <w:spacing w:after="0"/>
        <w:rPr>
          <w:bCs/>
          <w:sz w:val="28"/>
          <w:szCs w:val="28"/>
        </w:rPr>
      </w:pPr>
    </w:p>
    <w:p w:rsidR="005F444D" w:rsidRPr="00656FC6" w:rsidRDefault="005F444D" w:rsidP="005F444D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Calgary</w:t>
      </w:r>
    </w:p>
    <w:p w:rsidR="005F444D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5F444D">
        <w:rPr>
          <w:rFonts w:asciiTheme="minorHAnsi" w:hAnsiTheme="minorHAnsi" w:cstheme="minorHAnsi"/>
          <w:color w:val="002060"/>
          <w:sz w:val="20"/>
          <w:szCs w:val="20"/>
        </w:rPr>
        <w:t>Hoy es su día libre para disfrutar de las vistas y el sabor local de Calgary.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zoológico de Calgary es una atracción muy popular, así como los numerosos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senderos locales, que ofrecen una jornada de relajación alrededor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444D">
        <w:rPr>
          <w:rFonts w:asciiTheme="minorHAnsi" w:hAnsiTheme="minorHAnsi" w:cstheme="minorHAnsi"/>
          <w:color w:val="002060"/>
          <w:sz w:val="20"/>
          <w:szCs w:val="20"/>
        </w:rPr>
        <w:t>ciudad.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5F444D" w:rsidRPr="005F444D" w:rsidRDefault="005F444D" w:rsidP="005F444D">
      <w:pPr>
        <w:pStyle w:val="textos-itinerario"/>
        <w:spacing w:after="0"/>
        <w:rPr>
          <w:bCs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5F444D">
        <w:rPr>
          <w:rStyle w:val="DanmeroCar"/>
          <w:rFonts w:cs="Times New Roman"/>
          <w:b/>
          <w:sz w:val="24"/>
          <w:szCs w:val="24"/>
        </w:rPr>
        <w:t>5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54BCA">
        <w:rPr>
          <w:rStyle w:val="DestinosCar"/>
          <w:rFonts w:cs="Times New Roman"/>
          <w:b/>
          <w:smallCaps w:val="0"/>
          <w:sz w:val="24"/>
          <w:szCs w:val="24"/>
        </w:rPr>
        <w:t>Calgary</w:t>
      </w:r>
    </w:p>
    <w:p w:rsidR="00924F48" w:rsidRDefault="005F444D" w:rsidP="00754BC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444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Salida del hotel y fin del viaje.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24F4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924F4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5F444D" w:rsidRPr="005F444D" w:rsidRDefault="005F444D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Alojamiento por 4 noches</w:t>
      </w:r>
    </w:p>
    <w:p w:rsidR="005F444D" w:rsidRPr="005F444D" w:rsidRDefault="005F444D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Explore </w:t>
      </w:r>
      <w:proofErr w:type="spellStart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(incluye </w:t>
      </w:r>
      <w:proofErr w:type="spellStart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Gondola</w:t>
      </w:r>
      <w:proofErr w:type="spellEnd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crucero) (inglés) (11 horas)</w:t>
      </w:r>
    </w:p>
    <w:p w:rsidR="005F444D" w:rsidRPr="005F444D" w:rsidRDefault="005F444D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5F444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Tour Columbia Icefield Discovery (</w:t>
      </w:r>
      <w:proofErr w:type="spellStart"/>
      <w:r w:rsidRPr="005F444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incluye</w:t>
      </w:r>
      <w:proofErr w:type="spellEnd"/>
      <w:r w:rsidRPr="005F444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Ice Adventure, Skywalk y </w:t>
      </w:r>
      <w:proofErr w:type="spellStart"/>
      <w:r w:rsidRPr="005F444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alm</w:t>
      </w:r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uerzo</w:t>
      </w:r>
      <w:proofErr w:type="spellEnd"/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) (inglés) (14.45 horas)</w:t>
      </w:r>
    </w:p>
    <w:p w:rsidR="005F444D" w:rsidRPr="005F444D" w:rsidRDefault="005F444D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Documentación electrónica</w:t>
      </w:r>
    </w:p>
    <w:p w:rsidR="005F444D" w:rsidRDefault="005F444D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444D">
        <w:rPr>
          <w:rFonts w:asciiTheme="minorHAnsi" w:eastAsia="Arial" w:hAnsiTheme="minorHAnsi" w:cstheme="minorHAnsi"/>
          <w:color w:val="002060"/>
          <w:sz w:val="20"/>
          <w:szCs w:val="20"/>
        </w:rPr>
        <w:t>Las tasas provinciales y las tasas federales</w:t>
      </w:r>
    </w:p>
    <w:p w:rsidR="00924F48" w:rsidRPr="00C56D58" w:rsidRDefault="00924F48" w:rsidP="005F44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754BCA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</w:t>
      </w:r>
      <w:r w:rsidR="005F444D"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</w:t>
      </w:r>
      <w:hyperlink r:id="rId8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www.canada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.ca/eta (descripción </w:t>
      </w:r>
      <w:hyperlink r:id="rId9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http://www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7854"/>
        <w:gridCol w:w="575"/>
      </w:tblGrid>
      <w:tr w:rsidR="005F444D" w:rsidRPr="005F444D" w:rsidTr="005F444D">
        <w:trPr>
          <w:trHeight w:val="235"/>
          <w:jc w:val="center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5F444D" w:rsidRPr="005F444D" w:rsidTr="005F444D">
        <w:trPr>
          <w:trHeight w:val="23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5F444D" w:rsidRPr="005F444D" w:rsidTr="005F444D">
        <w:trPr>
          <w:trHeight w:val="235"/>
          <w:jc w:val="center"/>
        </w:trPr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CALGARY</w:t>
            </w: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5F444D">
              <w:rPr>
                <w:rFonts w:ascii="Aptos Narrow" w:hAnsi="Aptos Narrow"/>
                <w:lang w:val="en-US" w:bidi="ar-SA"/>
              </w:rPr>
              <w:t>RAMADA PLAZA CALGARY DOWNTOWN / SANDMAN SIGNATURE CALGARY DOWNTOWN HOTEL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5F444D" w:rsidRPr="005F444D" w:rsidTr="005F444D">
        <w:trPr>
          <w:trHeight w:val="235"/>
          <w:jc w:val="center"/>
        </w:trPr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5F444D">
              <w:rPr>
                <w:rFonts w:ascii="Aptos Narrow" w:hAnsi="Aptos Narrow"/>
                <w:color w:val="000000"/>
                <w:lang w:val="en-US" w:bidi="ar-SA"/>
              </w:rPr>
              <w:t>ALT HOTEL CALGARY EAST VILLAGE / HOTEL ARTS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000000"/>
                <w:lang w:bidi="ar-SA"/>
              </w:rPr>
              <w:t>P</w:t>
            </w:r>
          </w:p>
        </w:tc>
      </w:tr>
      <w:tr w:rsidR="005F444D" w:rsidRPr="005F444D" w:rsidTr="005F444D">
        <w:trPr>
          <w:trHeight w:val="235"/>
          <w:jc w:val="center"/>
        </w:trPr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5F444D">
              <w:rPr>
                <w:rFonts w:ascii="Aptos Narrow" w:hAnsi="Aptos Narrow"/>
                <w:color w:val="000000"/>
                <w:lang w:bidi="ar-SA"/>
              </w:rPr>
              <w:t>FAIRMONT PALLISER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000000"/>
                <w:lang w:bidi="ar-SA"/>
              </w:rPr>
              <w:t>S</w:t>
            </w:r>
          </w:p>
        </w:tc>
      </w:tr>
      <w:tr w:rsidR="005F444D" w:rsidRPr="00DB0E2C" w:rsidTr="005F444D">
        <w:trPr>
          <w:trHeight w:val="235"/>
          <w:jc w:val="center"/>
        </w:trPr>
        <w:tc>
          <w:tcPr>
            <w:tcW w:w="9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5F444D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74A02" w:rsidRDefault="00674A0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8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688"/>
        <w:gridCol w:w="688"/>
        <w:gridCol w:w="688"/>
        <w:gridCol w:w="688"/>
        <w:gridCol w:w="700"/>
      </w:tblGrid>
      <w:tr w:rsidR="005F444D" w:rsidRPr="005F444D" w:rsidTr="005F444D">
        <w:trPr>
          <w:trHeight w:val="263"/>
          <w:jc w:val="center"/>
        </w:trPr>
        <w:tc>
          <w:tcPr>
            <w:tcW w:w="48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48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5F444D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1380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1270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1210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1800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640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color w:val="FF0000"/>
                <w:lang w:bidi="ar-SA"/>
              </w:rPr>
              <w:t>PRIMERA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1600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1430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1350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2240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640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color w:val="156082"/>
                <w:lang w:bidi="ar-SA"/>
              </w:rPr>
              <w:t>SUPERIOR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1840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1600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1470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2740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640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5F444D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48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48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5F444D">
              <w:rPr>
                <w:rFonts w:ascii="Aptos Narrow" w:hAnsi="Aptos Narrow"/>
                <w:lang w:bidi="ar-SA"/>
              </w:rPr>
              <w:t>TURISTA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1960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1850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1790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2380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lang w:bidi="ar-SA"/>
              </w:rPr>
              <w:t>1220</w:t>
            </w:r>
          </w:p>
        </w:tc>
      </w:tr>
      <w:tr w:rsidR="005F444D" w:rsidRPr="005F444D" w:rsidTr="005F444D">
        <w:trPr>
          <w:trHeight w:val="263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color w:val="FF0000"/>
                <w:lang w:bidi="ar-SA"/>
              </w:rPr>
              <w:t>PRIMERA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2180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2010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1930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2820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FF0000"/>
                <w:lang w:bidi="ar-SA"/>
              </w:rPr>
              <w:t>1220</w:t>
            </w:r>
          </w:p>
        </w:tc>
      </w:tr>
      <w:tr w:rsidR="005F444D" w:rsidRPr="005F444D" w:rsidTr="005F444D">
        <w:trPr>
          <w:trHeight w:val="285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rPr>
                <w:rFonts w:ascii="Aptos Narrow" w:hAnsi="Aptos Narrow"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color w:val="156082"/>
                <w:lang w:bidi="ar-SA"/>
              </w:rPr>
              <w:t>SUPERIOR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2420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2180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2050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3320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56082"/>
                <w:lang w:bidi="ar-SA"/>
              </w:rPr>
            </w:pPr>
            <w:r w:rsidRPr="005F444D">
              <w:rPr>
                <w:rFonts w:ascii="Aptos Narrow" w:hAnsi="Aptos Narrow"/>
                <w:b/>
                <w:bCs/>
                <w:color w:val="156082"/>
                <w:lang w:bidi="ar-SA"/>
              </w:rPr>
              <w:t>1220</w:t>
            </w:r>
          </w:p>
        </w:tc>
      </w:tr>
    </w:tbl>
    <w:p w:rsidR="00754BCA" w:rsidRDefault="00754BC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2"/>
      </w:tblGrid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WESTJET SALIENDO DE LA CIUDAD DE MÉXICO: 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CALGARY - MÉXICO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250 USD POR PASAJERO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5F444D" w:rsidRPr="005F444D" w:rsidTr="005F444D">
        <w:trPr>
          <w:trHeight w:val="244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5F444D" w:rsidRPr="005F444D" w:rsidTr="005F444D">
        <w:trPr>
          <w:trHeight w:val="253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16 DE MAYO AL 12 DE OCTUBRE 2025</w:t>
            </w:r>
          </w:p>
        </w:tc>
      </w:tr>
      <w:tr w:rsidR="005F444D" w:rsidRPr="005F444D" w:rsidTr="005F444D">
        <w:trPr>
          <w:trHeight w:val="253"/>
          <w:jc w:val="center"/>
        </w:trPr>
        <w:tc>
          <w:tcPr>
            <w:tcW w:w="979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5F444D" w:rsidRPr="005F444D" w:rsidRDefault="005F444D" w:rsidP="005F444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444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0576C1" w:rsidRPr="00754BCA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F9144C" wp14:editId="728C8F7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4"/>
        <w:gridCol w:w="522"/>
        <w:gridCol w:w="493"/>
        <w:gridCol w:w="519"/>
        <w:gridCol w:w="519"/>
        <w:gridCol w:w="589"/>
      </w:tblGrid>
      <w:tr w:rsidR="00525EDD" w:rsidRPr="00525EDD" w:rsidTr="00525EDD">
        <w:trPr>
          <w:trHeight w:val="237"/>
          <w:jc w:val="center"/>
        </w:trPr>
        <w:tc>
          <w:tcPr>
            <w:tcW w:w="83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525EDD" w:rsidRPr="00525EDD" w:rsidTr="00525EDD">
        <w:trPr>
          <w:trHeight w:val="237"/>
          <w:jc w:val="center"/>
        </w:trPr>
        <w:tc>
          <w:tcPr>
            <w:tcW w:w="83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525EDD" w:rsidRPr="00525EDD" w:rsidTr="00525EDD">
        <w:trPr>
          <w:trHeight w:val="237"/>
          <w:jc w:val="center"/>
        </w:trPr>
        <w:tc>
          <w:tcPr>
            <w:tcW w:w="57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525EDD" w:rsidRPr="00525EDD" w:rsidTr="00525EDD">
        <w:trPr>
          <w:trHeight w:val="237"/>
          <w:jc w:val="center"/>
        </w:trPr>
        <w:tc>
          <w:tcPr>
            <w:tcW w:w="57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sz w:val="20"/>
                <w:szCs w:val="20"/>
                <w:lang w:bidi="ar-SA"/>
              </w:rPr>
              <w:t>TRASLADO AEROPUERTO-HOTEL CALGARY (SERVICIO PRIVADO)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170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140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130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250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150</w:t>
            </w:r>
          </w:p>
        </w:tc>
      </w:tr>
      <w:tr w:rsidR="00525EDD" w:rsidRPr="00525EDD" w:rsidTr="00525EDD">
        <w:trPr>
          <w:trHeight w:val="237"/>
          <w:jc w:val="center"/>
        </w:trPr>
        <w:tc>
          <w:tcPr>
            <w:tcW w:w="57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sz w:val="20"/>
                <w:szCs w:val="20"/>
                <w:lang w:bidi="ar-SA"/>
              </w:rPr>
              <w:t>ADMISIÓN A HERITAGE PARK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525EDD" w:rsidRPr="00525EDD" w:rsidTr="00525EDD">
        <w:trPr>
          <w:trHeight w:val="237"/>
          <w:jc w:val="center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525EDD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ADMISIÓN A TORRE DE CALGARY</w:t>
            </w:r>
          </w:p>
        </w:tc>
        <w:tc>
          <w:tcPr>
            <w:tcW w:w="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5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EDD" w:rsidRPr="00525EDD" w:rsidRDefault="00525EDD" w:rsidP="00525EDD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FA33C0" w:rsidRPr="00FA33C0" w:rsidRDefault="00FA33C0" w:rsidP="00FA33C0">
      <w:pPr>
        <w:pStyle w:val="Destinos"/>
      </w:pPr>
    </w:p>
    <w:sectPr w:rsidR="00FA33C0" w:rsidRPr="00FA3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80C" w:rsidRDefault="006A480C">
      <w:pPr>
        <w:spacing w:after="0" w:line="240" w:lineRule="auto"/>
      </w:pPr>
      <w:r>
        <w:separator/>
      </w:r>
    </w:p>
  </w:endnote>
  <w:endnote w:type="continuationSeparator" w:id="0">
    <w:p w:rsidR="006A480C" w:rsidRDefault="006A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A80863C" wp14:editId="6FAA896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80C" w:rsidRDefault="006A480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6A480C" w:rsidRDefault="006A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F24ED50" wp14:editId="007B38F9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5F444D" w:rsidRDefault="005F444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F444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EXPERIENCIA EN LAS MONTAÑAS ROCOSAS DE CALGARY Y BANFF</w:t>
                          </w:r>
                        </w:p>
                        <w:p w:rsidR="007F7B70" w:rsidRPr="00674A02" w:rsidRDefault="00674A0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754BC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</w:t>
                          </w:r>
                          <w:r w:rsidR="005F44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674A0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4ED50" id="Rectángulo 817596098" o:spid="_x0000_s1026" style="position:absolute;left:0;text-align:left;margin-left:-41.2pt;margin-top:-8.9pt;width:422.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5F444D" w:rsidRDefault="005F444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F444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EXPERIENCIA EN LAS MONTAÑAS ROCOSAS DE CALGARY Y BANFF</w:t>
                    </w:r>
                  </w:p>
                  <w:p w:rsidR="007F7B70" w:rsidRPr="00674A02" w:rsidRDefault="00674A0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754BC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</w:t>
                    </w:r>
                    <w:r w:rsidR="005F44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674A0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CDF1A5F" wp14:editId="5603713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D1A7E54" wp14:editId="5C6D3D5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D666B3" wp14:editId="6D2EE127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6C1"/>
    <w:rsid w:val="000803D4"/>
    <w:rsid w:val="000866AE"/>
    <w:rsid w:val="000C446B"/>
    <w:rsid w:val="000F27F5"/>
    <w:rsid w:val="000F4198"/>
    <w:rsid w:val="00121872"/>
    <w:rsid w:val="00121D3F"/>
    <w:rsid w:val="0012728F"/>
    <w:rsid w:val="001308DE"/>
    <w:rsid w:val="001760D9"/>
    <w:rsid w:val="00176DB1"/>
    <w:rsid w:val="0019090A"/>
    <w:rsid w:val="001934F5"/>
    <w:rsid w:val="00197448"/>
    <w:rsid w:val="001A0F6F"/>
    <w:rsid w:val="001E0802"/>
    <w:rsid w:val="00206A52"/>
    <w:rsid w:val="002479F5"/>
    <w:rsid w:val="00253EC6"/>
    <w:rsid w:val="00260703"/>
    <w:rsid w:val="00264BA9"/>
    <w:rsid w:val="00267DE8"/>
    <w:rsid w:val="002A3E36"/>
    <w:rsid w:val="002B20BB"/>
    <w:rsid w:val="002C0447"/>
    <w:rsid w:val="002C0954"/>
    <w:rsid w:val="002D3018"/>
    <w:rsid w:val="002E2148"/>
    <w:rsid w:val="002F32CC"/>
    <w:rsid w:val="00344D3D"/>
    <w:rsid w:val="003472AF"/>
    <w:rsid w:val="003549A2"/>
    <w:rsid w:val="00392834"/>
    <w:rsid w:val="003B4F01"/>
    <w:rsid w:val="003C443C"/>
    <w:rsid w:val="003D0785"/>
    <w:rsid w:val="003F071E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122A8"/>
    <w:rsid w:val="00525EDD"/>
    <w:rsid w:val="005507FE"/>
    <w:rsid w:val="005679E5"/>
    <w:rsid w:val="005E62F4"/>
    <w:rsid w:val="005F444D"/>
    <w:rsid w:val="00600CC3"/>
    <w:rsid w:val="006210F5"/>
    <w:rsid w:val="00623519"/>
    <w:rsid w:val="00655CC5"/>
    <w:rsid w:val="00674A02"/>
    <w:rsid w:val="0067587B"/>
    <w:rsid w:val="006835E6"/>
    <w:rsid w:val="0068514F"/>
    <w:rsid w:val="00687ED9"/>
    <w:rsid w:val="00692AA2"/>
    <w:rsid w:val="00692BA8"/>
    <w:rsid w:val="006A480C"/>
    <w:rsid w:val="006C1CB0"/>
    <w:rsid w:val="006C2396"/>
    <w:rsid w:val="006D29F5"/>
    <w:rsid w:val="006D33A0"/>
    <w:rsid w:val="006D72E8"/>
    <w:rsid w:val="006F1261"/>
    <w:rsid w:val="006F355F"/>
    <w:rsid w:val="006F44AE"/>
    <w:rsid w:val="00724E17"/>
    <w:rsid w:val="00744E44"/>
    <w:rsid w:val="00754BCA"/>
    <w:rsid w:val="00763EE6"/>
    <w:rsid w:val="0076687F"/>
    <w:rsid w:val="00782F05"/>
    <w:rsid w:val="00784A9B"/>
    <w:rsid w:val="007911E7"/>
    <w:rsid w:val="00792693"/>
    <w:rsid w:val="00794B66"/>
    <w:rsid w:val="007A3CDE"/>
    <w:rsid w:val="007C1010"/>
    <w:rsid w:val="007D07FC"/>
    <w:rsid w:val="007E29B7"/>
    <w:rsid w:val="007E4D71"/>
    <w:rsid w:val="007F7B70"/>
    <w:rsid w:val="0081762C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62600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3BDE"/>
    <w:rsid w:val="00C1510A"/>
    <w:rsid w:val="00C90CC1"/>
    <w:rsid w:val="00C97FB6"/>
    <w:rsid w:val="00CB3A63"/>
    <w:rsid w:val="00CB6477"/>
    <w:rsid w:val="00CC0D4B"/>
    <w:rsid w:val="00CE0C8F"/>
    <w:rsid w:val="00D2140A"/>
    <w:rsid w:val="00D6671F"/>
    <w:rsid w:val="00D71BE3"/>
    <w:rsid w:val="00DB0E2C"/>
    <w:rsid w:val="00DD2475"/>
    <w:rsid w:val="00DE3DFE"/>
    <w:rsid w:val="00DE7D94"/>
    <w:rsid w:val="00E04A81"/>
    <w:rsid w:val="00E05FDF"/>
    <w:rsid w:val="00E5624C"/>
    <w:rsid w:val="00E701F2"/>
    <w:rsid w:val="00E751EF"/>
    <w:rsid w:val="00E825CA"/>
    <w:rsid w:val="00E856F2"/>
    <w:rsid w:val="00EB361E"/>
    <w:rsid w:val="00EE2794"/>
    <w:rsid w:val="00EE5A2D"/>
    <w:rsid w:val="00F01C44"/>
    <w:rsid w:val="00F134B6"/>
    <w:rsid w:val="00F13A4C"/>
    <w:rsid w:val="00F14FD9"/>
    <w:rsid w:val="00F257E1"/>
    <w:rsid w:val="00F341D4"/>
    <w:rsid w:val="00F75957"/>
    <w:rsid w:val="00F77010"/>
    <w:rsid w:val="00F80024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DEE2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2025-10-07T18:51:00Z</dcterms:created>
  <dcterms:modified xsi:type="dcterms:W3CDTF">2025-10-07T18:51:00Z</dcterms:modified>
</cp:coreProperties>
</file>