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D2E21BC" w:rsidR="007F7B70" w:rsidRPr="009D3226" w:rsidRDefault="00A46735"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TAPACHULA, FINCA CAFETALERA, CAÑON DEL SUMIDERO, SAN CRISTÓBAL DE LAS </w:t>
      </w:r>
      <w:proofErr w:type="gramStart"/>
      <w:r>
        <w:rPr>
          <w:rStyle w:val="Ttulo-visitaras"/>
          <w:rFonts w:cs="Times New Roman"/>
          <w:b/>
          <w:color w:val="FF0000"/>
          <w:sz w:val="24"/>
          <w:szCs w:val="24"/>
          <w:lang w:val="es-MX"/>
        </w:rPr>
        <w:t>CASAS,CASCADA</w:t>
      </w:r>
      <w:proofErr w:type="gramEnd"/>
      <w:r>
        <w:rPr>
          <w:rStyle w:val="Ttulo-visitaras"/>
          <w:rFonts w:cs="Times New Roman"/>
          <w:b/>
          <w:color w:val="FF0000"/>
          <w:sz w:val="24"/>
          <w:szCs w:val="24"/>
          <w:lang w:val="es-MX"/>
        </w:rPr>
        <w:t xml:space="preserve"> EL CHIFLÓN, LAGOS DE MONTEBELLO, SAN JUAN CHAMULA, ZINACANTÁN, TUXTLA GUTIERREZ</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EC9C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D322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58D4C6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46735" w:rsidRPr="00A46735">
        <w:rPr>
          <w:rFonts w:eastAsia="Arial"/>
          <w:sz w:val="24"/>
          <w:szCs w:val="24"/>
        </w:rPr>
        <w:t>Aeropuerto Tapachula – Finca cafetalera</w:t>
      </w:r>
    </w:p>
    <w:p w14:paraId="2129E812" w14:textId="676E8738" w:rsidR="00C163B7" w:rsidRPr="00A46735" w:rsidRDefault="00A46735" w:rsidP="006B6150">
      <w:pPr>
        <w:pStyle w:val="textos-itinerario"/>
        <w:spacing w:after="0"/>
        <w:rPr>
          <w:b/>
          <w:bCs/>
        </w:rPr>
      </w:pPr>
      <w:r w:rsidRPr="00A46735">
        <w:t>Recepción en el aeropuerto de Tapachula y traslado a la Finca Cafetalera, registro y alojamiento</w:t>
      </w:r>
      <w:r w:rsidR="006B6150">
        <w:t>.</w:t>
      </w:r>
      <w:r w:rsidR="00E16326">
        <w:t xml:space="preserve"> </w:t>
      </w:r>
      <w:r w:rsidR="00E16326" w:rsidRPr="00E16326">
        <w:rPr>
          <w:b/>
          <w:bCs/>
        </w:rPr>
        <w:t>Alojamiento.</w:t>
      </w:r>
    </w:p>
    <w:p w14:paraId="4E121F32" w14:textId="08BA201C" w:rsidR="009D3226"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C163B7">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0FEEB55B"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46735" w:rsidRPr="00A46735">
        <w:rPr>
          <w:rFonts w:eastAsia="Arial"/>
          <w:sz w:val="24"/>
          <w:szCs w:val="24"/>
        </w:rPr>
        <w:t>Finca cafetalera - Proceso de Café – Finca Cafetalera</w:t>
      </w:r>
    </w:p>
    <w:p w14:paraId="09D79077" w14:textId="27D0F9EE" w:rsidR="0048014F" w:rsidRDefault="00A46735" w:rsidP="00273EB7">
      <w:pPr>
        <w:pStyle w:val="textos-itinerario"/>
        <w:spacing w:after="0"/>
        <w:rPr>
          <w:bCs/>
        </w:rPr>
      </w:pPr>
      <w:r w:rsidRPr="00A46735">
        <w:rPr>
          <w:bCs/>
        </w:rPr>
        <w:t xml:space="preserve">Durante 1 hora y media disfrutaras de esta hermosa experiencia, el primer vistazo al bosque de café te conecta con la esencia de la finca. Aquí, compartimos historias fascinantes: cómo llegó el café a estas tierras, anécdotas de generaciones y vivencias que le dan vida a cada planta.  Luego, nos adentramos en el corazón del proceso: el beneficio húmedo y seco. Descubrirás su funcionamiento y los secretos detrás de la transformación del grano. Cada paso está acompañado de relatos que revelan la pasión y el trabajo que hay detrás de cada taza. Para cerrar con broche de oro, disfrutarás de una </w:t>
      </w:r>
      <w:r w:rsidRPr="00A46735">
        <w:rPr>
          <w:bCs/>
        </w:rPr>
        <w:t>degustación con</w:t>
      </w:r>
      <w:r w:rsidRPr="00A46735">
        <w:rPr>
          <w:bCs/>
        </w:rPr>
        <w:t xml:space="preserve"> café producido en la finca, donde sus aromas, sabores y matices únicos te encantaran. Dia libre para disfrutar de la finca o de la relajación en el sp</w:t>
      </w:r>
      <w:r>
        <w:rPr>
          <w:bCs/>
        </w:rPr>
        <w:t xml:space="preserve">a </w:t>
      </w:r>
      <w:r w:rsidRPr="00A46735">
        <w:rPr>
          <w:bCs/>
        </w:rPr>
        <w:t>(no incluido)</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241634A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46735" w:rsidRPr="00A46735">
        <w:rPr>
          <w:rFonts w:eastAsia="Arial"/>
          <w:color w:val="EE0000"/>
          <w:sz w:val="24"/>
          <w:szCs w:val="24"/>
        </w:rPr>
        <w:t xml:space="preserve">Finca cafetalera - Cañón del sumidero – </w:t>
      </w:r>
      <w:r w:rsidR="00A46735">
        <w:rPr>
          <w:rFonts w:eastAsia="Arial"/>
          <w:color w:val="EE0000"/>
          <w:sz w:val="24"/>
          <w:szCs w:val="24"/>
        </w:rPr>
        <w:t>S</w:t>
      </w:r>
      <w:r w:rsidR="00A46735" w:rsidRPr="00A46735">
        <w:rPr>
          <w:rFonts w:eastAsia="Arial"/>
          <w:color w:val="EE0000"/>
          <w:sz w:val="24"/>
          <w:szCs w:val="24"/>
        </w:rPr>
        <w:t>an Cristóbal</w:t>
      </w:r>
      <w:r w:rsidR="00A46735">
        <w:rPr>
          <w:rFonts w:eastAsia="Arial"/>
          <w:color w:val="EE0000"/>
          <w:sz w:val="24"/>
          <w:szCs w:val="24"/>
        </w:rPr>
        <w:t xml:space="preserve"> de las Casas </w:t>
      </w:r>
    </w:p>
    <w:p w14:paraId="66EF02EE" w14:textId="49009AEA" w:rsidR="009D3226" w:rsidRPr="006B6150" w:rsidRDefault="00A46735" w:rsidP="006B6150">
      <w:pPr>
        <w:pStyle w:val="notas"/>
        <w:spacing w:line="240" w:lineRule="auto"/>
        <w:rPr>
          <w:rStyle w:val="Destacados-textosCar"/>
          <w:bCs/>
          <w:sz w:val="20"/>
        </w:rPr>
      </w:pPr>
      <w:r w:rsidRPr="00A46735">
        <w:rPr>
          <w:rStyle w:val="Destacados-textosCar"/>
          <w:bCs/>
          <w:sz w:val="20"/>
        </w:rPr>
        <w:t xml:space="preserve">Después del desayuno salida de la Finca y continuación hacia el embarcadero del </w:t>
      </w:r>
      <w:proofErr w:type="spellStart"/>
      <w:r w:rsidRPr="00A46735">
        <w:rPr>
          <w:rStyle w:val="Destacados-textosCar"/>
          <w:bCs/>
          <w:sz w:val="20"/>
        </w:rPr>
        <w:t>cañon</w:t>
      </w:r>
      <w:proofErr w:type="spellEnd"/>
      <w:r w:rsidRPr="00A46735">
        <w:rPr>
          <w:rStyle w:val="Destacados-textosCar"/>
          <w:bCs/>
          <w:sz w:val="20"/>
        </w:rPr>
        <w:t xml:space="preserve"> del sumidero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 Alojamiento</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04FA6AD5"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A46735" w:rsidRPr="00A46735">
        <w:rPr>
          <w:rFonts w:eastAsia="Arial"/>
          <w:color w:val="EE0000"/>
          <w:sz w:val="24"/>
          <w:szCs w:val="24"/>
        </w:rPr>
        <w:t>San Cristóbal de Las Casas - Cascada El Chiflón - Lagos de Montebello - San Cristóbal de Las Casas</w:t>
      </w:r>
    </w:p>
    <w:p w14:paraId="506B70AC" w14:textId="209135EB" w:rsidR="00062F3D" w:rsidRPr="006B6150" w:rsidRDefault="00A46735" w:rsidP="006B6150">
      <w:pPr>
        <w:pStyle w:val="notas"/>
        <w:spacing w:line="240" w:lineRule="auto"/>
        <w:rPr>
          <w:rStyle w:val="Destacados-textosCar"/>
          <w:bCs/>
          <w:sz w:val="20"/>
        </w:rPr>
      </w:pPr>
      <w:r w:rsidRPr="00A46735">
        <w:rPr>
          <w:rStyle w:val="Destacados-textosCar"/>
          <w:bCs/>
          <w:sz w:val="20"/>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3F310D38"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A46735" w:rsidRPr="00A46735">
        <w:rPr>
          <w:rFonts w:eastAsia="Arial"/>
          <w:color w:val="EE0000"/>
          <w:sz w:val="24"/>
          <w:szCs w:val="24"/>
        </w:rPr>
        <w:t>San Cristóbal de Las Casas - San Juan Chamula - Zinacantán - Tuxtla Gutiérrez</w:t>
      </w:r>
    </w:p>
    <w:p w14:paraId="7A9841AC" w14:textId="77777777" w:rsidR="00A46735" w:rsidRDefault="00A46735" w:rsidP="00A46735">
      <w:pPr>
        <w:pStyle w:val="notas"/>
        <w:spacing w:line="240" w:lineRule="auto"/>
        <w:rPr>
          <w:rStyle w:val="Destacados-textosCar"/>
          <w:bCs/>
          <w:sz w:val="20"/>
        </w:rPr>
      </w:pPr>
      <w:r w:rsidRPr="00A46735">
        <w:rPr>
          <w:rStyle w:val="Destacados-textosCar"/>
          <w:bCs/>
          <w:sz w:val="20"/>
        </w:rPr>
        <w:t xml:space="preserve">Temprano en la mañana, inicia una emocionante aventura cultural y tradicional. Este viaje hacia las Comunidades Indígenas del grupo étnico Tzotzil es una maravillosa oportunidad para expandir tus horizontes y sumergirte en una auténtica travesía. La primera parada de este recorrido te adentra en Chamula, un rincón donde las tradiciones contemporáneas entrelazan sus raíces con antiguos rasgos mayas. Cada rincón de este lugar emana una esencia única y fascinante que te invita a descubrir y comprender su herencia. El siguiente destino es Zinacantán, un lugar donde las vivencias se tejen con hilos de historia. Allí, tendrás la oportunidad de conocer su iglesia y, aún más significativo, compartir momentos con una familia de </w:t>
      </w:r>
    </w:p>
    <w:p w14:paraId="5EBC8721" w14:textId="77777777" w:rsidR="00A46735" w:rsidRDefault="00A46735" w:rsidP="00A46735">
      <w:pPr>
        <w:pStyle w:val="notas"/>
        <w:spacing w:line="240" w:lineRule="auto"/>
        <w:rPr>
          <w:rStyle w:val="Destacados-textosCar"/>
          <w:bCs/>
          <w:sz w:val="20"/>
        </w:rPr>
      </w:pPr>
    </w:p>
    <w:p w14:paraId="3A9146D2" w14:textId="3E1C4CD6" w:rsidR="00A46735" w:rsidRPr="00A46735" w:rsidRDefault="00A46735" w:rsidP="00A46735">
      <w:pPr>
        <w:pStyle w:val="notas"/>
        <w:spacing w:line="240" w:lineRule="auto"/>
        <w:rPr>
          <w:rStyle w:val="Destacados-textosCar"/>
          <w:bCs/>
          <w:sz w:val="20"/>
        </w:rPr>
      </w:pPr>
      <w:r w:rsidRPr="00A46735">
        <w:rPr>
          <w:rStyle w:val="Destacados-textosCar"/>
          <w:bCs/>
          <w:sz w:val="20"/>
        </w:rPr>
        <w:t xml:space="preserve">esta comunidad. En esta experiencia, el sabor de una bebida tradicional acaricia tus sentidos y, con un poco de fortuna, podrás deleitarte con las tortillas hechas a mano, un manjar que conecta con siglos de tradición. Fin de servicios. </w:t>
      </w:r>
    </w:p>
    <w:p w14:paraId="33E1AB3E" w14:textId="7256ABBF" w:rsidR="006B6150" w:rsidRPr="00C163B7" w:rsidRDefault="00A46735" w:rsidP="00A46735">
      <w:pPr>
        <w:pStyle w:val="notas"/>
        <w:spacing w:line="240" w:lineRule="auto"/>
        <w:rPr>
          <w:rStyle w:val="Destacados-textosCar"/>
          <w:b/>
          <w:sz w:val="20"/>
        </w:rPr>
      </w:pPr>
      <w:r w:rsidRPr="00A46735">
        <w:rPr>
          <w:rStyle w:val="Destacados-textosCar"/>
          <w:bCs/>
          <w:sz w:val="20"/>
        </w:rPr>
        <w:t>Finalmente, el trayecto de regreso desde San Cristóbal de Las Casas hasta el aeropuerto de Tuxtla Gutiérrez se convierte en el último capítulo de esta experiencia, (80 minutos aprox.)</w:t>
      </w:r>
      <w:r w:rsidR="006B6150">
        <w:rPr>
          <w:rStyle w:val="Destacados-textosCar"/>
          <w:bCs/>
          <w:sz w:val="20"/>
        </w:rPr>
        <w:t xml:space="preserve">. </w:t>
      </w:r>
      <w:r w:rsidR="006B6150">
        <w:rPr>
          <w:rStyle w:val="Destacados-textosCar"/>
          <w:b/>
          <w:sz w:val="20"/>
        </w:rPr>
        <w:t xml:space="preserve">FIN DE LOS SERVICIOS </w:t>
      </w:r>
    </w:p>
    <w:p w14:paraId="1DD43FD6" w14:textId="51C2AB4E" w:rsidR="008D3EBF" w:rsidRDefault="00C163B7" w:rsidP="00BE357F">
      <w:pPr>
        <w:pStyle w:val="notas"/>
        <w:spacing w:line="240" w:lineRule="auto"/>
        <w:rPr>
          <w:rStyle w:val="Destacados-textosCar"/>
          <w:b/>
          <w:color w:val="E36C0A" w:themeColor="accent6" w:themeShade="BF"/>
          <w:sz w:val="20"/>
        </w:rPr>
      </w:pPr>
      <w:r w:rsidRPr="00C163B7">
        <w:rPr>
          <w:rStyle w:val="Destacados-textosCar"/>
          <w:b/>
          <w:color w:val="E36C0A" w:themeColor="accent6" w:themeShade="BF"/>
          <w:sz w:val="20"/>
        </w:rPr>
        <w:t xml:space="preserve">Nota:  </w:t>
      </w:r>
      <w:r w:rsidR="00A46735" w:rsidRPr="00A46735">
        <w:rPr>
          <w:rStyle w:val="Destacados-textosCar"/>
          <w:b/>
          <w:color w:val="E36C0A" w:themeColor="accent6" w:themeShade="BF"/>
          <w:sz w:val="20"/>
        </w:rPr>
        <w:t xml:space="preserve">El vuelo de salida de Tuxtla Gutiérrez debe ser después de las 18:00 </w:t>
      </w:r>
      <w:proofErr w:type="spellStart"/>
      <w:r w:rsidR="00A46735" w:rsidRPr="00A46735">
        <w:rPr>
          <w:rStyle w:val="Destacados-textosCar"/>
          <w:b/>
          <w:color w:val="E36C0A" w:themeColor="accent6" w:themeShade="BF"/>
          <w:sz w:val="20"/>
        </w:rPr>
        <w:t>Hrs</w:t>
      </w:r>
      <w:proofErr w:type="spellEnd"/>
      <w:r w:rsidR="00A46735" w:rsidRPr="00A46735">
        <w:rPr>
          <w:rStyle w:val="Destacados-textosCar"/>
          <w:b/>
          <w:color w:val="E36C0A" w:themeColor="accent6" w:themeShade="BF"/>
          <w:sz w:val="20"/>
        </w:rPr>
        <w:t xml:space="preserve">. (el termino en el Apto de Tuxtla será a las 16.30pm </w:t>
      </w:r>
      <w:proofErr w:type="spellStart"/>
      <w:r w:rsidR="00A46735" w:rsidRPr="00A46735">
        <w:rPr>
          <w:rStyle w:val="Destacados-textosCar"/>
          <w:b/>
          <w:color w:val="E36C0A" w:themeColor="accent6" w:themeShade="BF"/>
          <w:sz w:val="20"/>
        </w:rPr>
        <w:t>aprox</w:t>
      </w:r>
      <w:proofErr w:type="spellEnd"/>
      <w:r w:rsidR="00A46735" w:rsidRPr="00A46735">
        <w:rPr>
          <w:rStyle w:val="Destacados-textosCar"/>
          <w:b/>
          <w:color w:val="E36C0A" w:themeColor="accent6" w:themeShade="BF"/>
          <w:sz w:val="20"/>
        </w:rPr>
        <w:t>)</w:t>
      </w:r>
    </w:p>
    <w:p w14:paraId="59CFD7BB" w14:textId="77777777" w:rsidR="00C163B7" w:rsidRPr="00BA37C5" w:rsidRDefault="00C163B7"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352D2C" w14:textId="2C6C84B3"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Traslado aeropuerto – hotel – aeropuerto en servicio compartido y vehículos previamente sanitizados bajo normativa Punto Limpio</w:t>
      </w:r>
    </w:p>
    <w:p w14:paraId="7112E9C4" w14:textId="56685A96"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2 noches de alojamiento en finca cafetalera.</w:t>
      </w:r>
    </w:p>
    <w:p w14:paraId="7D9EFCE9" w14:textId="40D8793F"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 xml:space="preserve">Experiencia proceso de café </w:t>
      </w:r>
    </w:p>
    <w:p w14:paraId="57596876" w14:textId="419B2A7D"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Chofer-guía en español</w:t>
      </w:r>
    </w:p>
    <w:p w14:paraId="1C094D69" w14:textId="096FE75C"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Tour en lancha por el Cañón del Sumidero (lancha compartida)</w:t>
      </w:r>
    </w:p>
    <w:p w14:paraId="2BEB871E" w14:textId="440A984B"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Chófer guía español / inglés en San Cristóbal</w:t>
      </w:r>
    </w:p>
    <w:p w14:paraId="05AB58CD" w14:textId="2B879EE4"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Guías en zonas arqueológicas.</w:t>
      </w:r>
    </w:p>
    <w:p w14:paraId="197A6E37" w14:textId="23D480BA"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Todas las entradas a parques y monumentos descritos en el itinerario.</w:t>
      </w:r>
    </w:p>
    <w:p w14:paraId="08E3013C" w14:textId="072994AB"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Visita Panorámica Amatenango del Valle.</w:t>
      </w:r>
    </w:p>
    <w:p w14:paraId="07B318B1" w14:textId="653726AB"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Visita Cascada de Chiflón y lagos de Montebello.</w:t>
      </w:r>
    </w:p>
    <w:p w14:paraId="7CC6F31F" w14:textId="39372620"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Visita San Juan Chamula. – Visita Zinacantán.</w:t>
      </w:r>
    </w:p>
    <w:p w14:paraId="7769EEA2" w14:textId="093012A2"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Traslado de salida (aeropuerto, hotel, central de autobuses)</w:t>
      </w:r>
    </w:p>
    <w:p w14:paraId="35F4BF27" w14:textId="19867B57" w:rsidR="00A46735"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2 noches de Alojamiento en San Cristóbal de Las Casas</w:t>
      </w:r>
    </w:p>
    <w:p w14:paraId="7FA04DFE" w14:textId="61E804BE" w:rsidR="00D91166" w:rsidRPr="00A46735" w:rsidRDefault="00A46735" w:rsidP="00A46735">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A46735">
        <w:rPr>
          <w:rFonts w:asciiTheme="minorHAnsi" w:eastAsia="Arial" w:hAnsiTheme="minorHAnsi" w:cstheme="minorHAnsi"/>
          <w:color w:val="002060"/>
          <w:sz w:val="20"/>
          <w:szCs w:val="20"/>
        </w:rPr>
        <w:t>Desayunos tipo americano diario.</w:t>
      </w:r>
    </w:p>
    <w:p w14:paraId="434D8902" w14:textId="77777777" w:rsidR="00A46735" w:rsidRPr="006B6150" w:rsidRDefault="00A46735" w:rsidP="00A46735">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55172B07" w:rsidR="00D91166" w:rsidRPr="00A46735"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6DFE93B1" w14:textId="5A74E6AF" w:rsidR="00636297"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65294288" w14:textId="77777777" w:rsidR="00636297"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53524AC" w14:textId="4755BEF4"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325E2ED1" w14:textId="77777777" w:rsidR="00636297" w:rsidRDefault="00636297" w:rsidP="00062F3D">
      <w:pPr>
        <w:spacing w:after="0" w:line="240" w:lineRule="auto"/>
        <w:rPr>
          <w:rFonts w:asciiTheme="minorHAnsi" w:eastAsia="Arial" w:hAnsiTheme="minorHAnsi" w:cstheme="minorHAnsi"/>
          <w:color w:val="002060"/>
          <w:sz w:val="20"/>
          <w:szCs w:val="20"/>
        </w:rPr>
      </w:pPr>
    </w:p>
    <w:p w14:paraId="03524E0D"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237318FD" w14:textId="77777777" w:rsidR="00AD7877" w:rsidRPr="00BE357F" w:rsidRDefault="00AD7877"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36297" w:rsidRPr="006835E6" w14:paraId="01038B3D" w14:textId="77777777" w:rsidTr="00636297">
        <w:trPr>
          <w:trHeight w:val="284"/>
          <w:tblCellSpacing w:w="0" w:type="dxa"/>
          <w:jc w:val="center"/>
        </w:trPr>
        <w:tc>
          <w:tcPr>
            <w:tcW w:w="1268" w:type="dxa"/>
            <w:tcMar>
              <w:top w:w="0" w:type="dxa"/>
              <w:left w:w="45" w:type="dxa"/>
              <w:bottom w:w="0" w:type="dxa"/>
              <w:right w:w="45" w:type="dxa"/>
            </w:tcMar>
            <w:vAlign w:val="bottom"/>
          </w:tcPr>
          <w:p w14:paraId="48530320" w14:textId="6D91608A"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33ABB9FE" w14:textId="0D382DD4"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TAPACHULA</w:t>
            </w:r>
          </w:p>
        </w:tc>
        <w:tc>
          <w:tcPr>
            <w:tcW w:w="5479" w:type="dxa"/>
            <w:tcMar>
              <w:top w:w="0" w:type="dxa"/>
              <w:left w:w="45" w:type="dxa"/>
              <w:bottom w:w="0" w:type="dxa"/>
              <w:right w:w="45" w:type="dxa"/>
            </w:tcMar>
            <w:vAlign w:val="bottom"/>
          </w:tcPr>
          <w:p w14:paraId="5E0B172B" w14:textId="59495E08"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FINCA ARGOBIA O SIMILAR</w:t>
            </w:r>
          </w:p>
        </w:tc>
        <w:tc>
          <w:tcPr>
            <w:tcW w:w="698" w:type="dxa"/>
            <w:tcMar>
              <w:top w:w="0" w:type="dxa"/>
              <w:left w:w="45" w:type="dxa"/>
              <w:bottom w:w="0" w:type="dxa"/>
              <w:right w:w="45" w:type="dxa"/>
            </w:tcMar>
            <w:vAlign w:val="bottom"/>
          </w:tcPr>
          <w:p w14:paraId="6A84BAEA" w14:textId="36741E29"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36297" w:rsidRPr="006835E6" w14:paraId="4576E96F" w14:textId="77777777" w:rsidTr="00636297">
        <w:trPr>
          <w:trHeight w:val="284"/>
          <w:tblCellSpacing w:w="0" w:type="dxa"/>
          <w:jc w:val="center"/>
        </w:trPr>
        <w:tc>
          <w:tcPr>
            <w:tcW w:w="1268" w:type="dxa"/>
            <w:tcMar>
              <w:top w:w="0" w:type="dxa"/>
              <w:left w:w="45" w:type="dxa"/>
              <w:bottom w:w="0" w:type="dxa"/>
              <w:right w:w="45" w:type="dxa"/>
            </w:tcMar>
            <w:vAlign w:val="bottom"/>
          </w:tcPr>
          <w:p w14:paraId="14D33B28" w14:textId="7D318AE3"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06913BE9" w14:textId="2A8B19DD"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w:t>
            </w:r>
          </w:p>
        </w:tc>
        <w:tc>
          <w:tcPr>
            <w:tcW w:w="5479" w:type="dxa"/>
            <w:tcMar>
              <w:top w:w="0" w:type="dxa"/>
              <w:left w:w="45" w:type="dxa"/>
              <w:bottom w:w="0" w:type="dxa"/>
              <w:right w:w="45" w:type="dxa"/>
            </w:tcMar>
            <w:vAlign w:val="bottom"/>
          </w:tcPr>
          <w:p w14:paraId="0CB40CF9" w14:textId="020FE295"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MASIÓN DEL VALLE / PLAZA MAGOLIAS</w:t>
            </w:r>
          </w:p>
        </w:tc>
        <w:tc>
          <w:tcPr>
            <w:tcW w:w="698" w:type="dxa"/>
            <w:tcMar>
              <w:top w:w="0" w:type="dxa"/>
              <w:left w:w="45" w:type="dxa"/>
              <w:bottom w:w="0" w:type="dxa"/>
              <w:right w:w="45" w:type="dxa"/>
            </w:tcMar>
            <w:vAlign w:val="bottom"/>
          </w:tcPr>
          <w:p w14:paraId="72627031" w14:textId="1FB5CEEF" w:rsidR="00636297" w:rsidRPr="00636297" w:rsidRDefault="0063629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125"/>
        <w:gridCol w:w="1843"/>
        <w:gridCol w:w="3443"/>
      </w:tblGrid>
      <w:tr w:rsidR="00F37F89" w:rsidRPr="00A0012D" w14:paraId="18A5487D" w14:textId="77777777" w:rsidTr="00636297">
        <w:trPr>
          <w:gridAfter w:val="1"/>
          <w:wAfter w:w="3443" w:type="dxa"/>
          <w:trHeight w:val="236"/>
          <w:tblCellSpacing w:w="0" w:type="dxa"/>
        </w:trPr>
        <w:tc>
          <w:tcPr>
            <w:tcW w:w="6513"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636297">
        <w:trPr>
          <w:gridAfter w:val="1"/>
          <w:wAfter w:w="3443" w:type="dxa"/>
          <w:trHeight w:val="259"/>
          <w:tblCellSpacing w:w="0" w:type="dxa"/>
        </w:trPr>
        <w:tc>
          <w:tcPr>
            <w:tcW w:w="6513"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636297" w:rsidRPr="00A0012D" w14:paraId="69BCCF0C" w14:textId="77777777" w:rsidTr="00636297">
        <w:trPr>
          <w:gridAfter w:val="1"/>
          <w:wAfter w:w="3443"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636297" w:rsidRPr="0034388B" w:rsidRDefault="00636297"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636297" w:rsidRPr="0034388B" w:rsidRDefault="00636297"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125" w:type="dxa"/>
            <w:tcBorders>
              <w:bottom w:val="single" w:sz="6" w:space="0" w:color="000000"/>
              <w:right w:val="single" w:sz="6" w:space="0" w:color="000000"/>
            </w:tcBorders>
            <w:shd w:val="clear" w:color="auto" w:fill="D9D9D9"/>
          </w:tcPr>
          <w:p w14:paraId="1ECD5AB9" w14:textId="77777777" w:rsidR="00636297" w:rsidRPr="0034388B" w:rsidRDefault="00636297"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471E1FF5" w14:textId="77777777" w:rsidR="00636297" w:rsidRPr="0034388B" w:rsidRDefault="00636297"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36297" w:rsidRPr="00A0012D" w14:paraId="235AE24D" w14:textId="77777777" w:rsidTr="00636297">
        <w:trPr>
          <w:gridAfter w:val="1"/>
          <w:wAfter w:w="3443"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636297" w:rsidRDefault="00636297"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5AE5B57" w:rsidR="00636297" w:rsidRDefault="0063629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36880</w:t>
            </w:r>
          </w:p>
        </w:tc>
        <w:tc>
          <w:tcPr>
            <w:tcW w:w="1125" w:type="dxa"/>
            <w:tcBorders>
              <w:bottom w:val="single" w:sz="6" w:space="0" w:color="000000"/>
              <w:right w:val="single" w:sz="6" w:space="0" w:color="000000"/>
            </w:tcBorders>
          </w:tcPr>
          <w:p w14:paraId="0352927E" w14:textId="64BCF232" w:rsidR="00636297" w:rsidRDefault="0063629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42690</w:t>
            </w:r>
          </w:p>
        </w:tc>
        <w:tc>
          <w:tcPr>
            <w:tcW w:w="1843" w:type="dxa"/>
            <w:tcBorders>
              <w:bottom w:val="single" w:sz="6" w:space="0" w:color="000000"/>
              <w:right w:val="single" w:sz="6" w:space="0" w:color="000000"/>
            </w:tcBorders>
          </w:tcPr>
          <w:p w14:paraId="11CA924A" w14:textId="528FD71F" w:rsidR="00636297" w:rsidRDefault="0063629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20760</w:t>
            </w:r>
          </w:p>
        </w:tc>
      </w:tr>
      <w:tr w:rsidR="00F37F89" w:rsidRPr="001760D9" w14:paraId="44581ECE" w14:textId="77777777" w:rsidTr="00636297">
        <w:trPr>
          <w:gridAfter w:val="1"/>
          <w:wAfter w:w="3443" w:type="dxa"/>
          <w:trHeight w:val="482"/>
          <w:tblCellSpacing w:w="0" w:type="dxa"/>
        </w:trPr>
        <w:tc>
          <w:tcPr>
            <w:tcW w:w="6513"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636297">
        <w:trPr>
          <w:trHeight w:val="212"/>
          <w:tblCellSpacing w:w="0" w:type="dxa"/>
        </w:trPr>
        <w:tc>
          <w:tcPr>
            <w:tcW w:w="6513" w:type="dxa"/>
            <w:gridSpan w:val="4"/>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3443"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636297">
        <w:trPr>
          <w:trHeight w:val="223"/>
          <w:tblCellSpacing w:w="0" w:type="dxa"/>
        </w:trPr>
        <w:tc>
          <w:tcPr>
            <w:tcW w:w="6513" w:type="dxa"/>
            <w:gridSpan w:val="4"/>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3443"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636297">
        <w:trPr>
          <w:trHeight w:val="200"/>
          <w:tblCellSpacing w:w="0" w:type="dxa"/>
        </w:trPr>
        <w:tc>
          <w:tcPr>
            <w:tcW w:w="6513"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3443"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3EDD6E6" w14:textId="77777777" w:rsidR="00AD7877" w:rsidRDefault="00AD7877">
      <w:pPr>
        <w:spacing w:after="0" w:line="240" w:lineRule="auto"/>
        <w:jc w:val="both"/>
        <w:rPr>
          <w:rFonts w:asciiTheme="minorHAnsi" w:eastAsia="Arial" w:hAnsiTheme="minorHAnsi" w:cstheme="minorHAnsi"/>
          <w:color w:val="002060"/>
          <w:sz w:val="20"/>
          <w:szCs w:val="20"/>
        </w:rPr>
      </w:pPr>
    </w:p>
    <w:p w14:paraId="2AAE091A" w14:textId="77777777" w:rsidR="00AD7877" w:rsidRDefault="00AD7877">
      <w:pPr>
        <w:spacing w:after="0" w:line="240" w:lineRule="auto"/>
        <w:jc w:val="both"/>
        <w:rPr>
          <w:rFonts w:asciiTheme="minorHAnsi" w:eastAsia="Arial" w:hAnsiTheme="minorHAnsi" w:cstheme="minorHAnsi"/>
          <w:color w:val="002060"/>
          <w:sz w:val="20"/>
          <w:szCs w:val="20"/>
        </w:rPr>
      </w:pPr>
    </w:p>
    <w:p w14:paraId="21F6C006" w14:textId="77777777" w:rsidR="00AD7877" w:rsidRDefault="00AD7877">
      <w:pPr>
        <w:spacing w:after="0" w:line="240" w:lineRule="auto"/>
        <w:jc w:val="both"/>
        <w:rPr>
          <w:rFonts w:asciiTheme="minorHAnsi" w:eastAsia="Arial" w:hAnsiTheme="minorHAnsi" w:cstheme="minorHAnsi"/>
          <w:color w:val="002060"/>
          <w:sz w:val="20"/>
          <w:szCs w:val="20"/>
        </w:rPr>
      </w:pPr>
    </w:p>
    <w:p w14:paraId="0B2F495C" w14:textId="77777777" w:rsidR="00AD7877" w:rsidRDefault="00AD7877">
      <w:pPr>
        <w:spacing w:after="0" w:line="240" w:lineRule="auto"/>
        <w:jc w:val="both"/>
        <w:rPr>
          <w:rFonts w:asciiTheme="minorHAnsi" w:eastAsia="Arial" w:hAnsiTheme="minorHAnsi" w:cstheme="minorHAnsi"/>
          <w:color w:val="002060"/>
          <w:sz w:val="20"/>
          <w:szCs w:val="20"/>
        </w:rPr>
      </w:pPr>
    </w:p>
    <w:p w14:paraId="0C804C1B" w14:textId="77777777" w:rsidR="00AD7877" w:rsidRDefault="00AD7877">
      <w:pPr>
        <w:spacing w:after="0" w:line="240" w:lineRule="auto"/>
        <w:jc w:val="both"/>
        <w:rPr>
          <w:rFonts w:asciiTheme="minorHAnsi" w:eastAsia="Arial" w:hAnsiTheme="minorHAnsi" w:cstheme="minorHAnsi"/>
          <w:color w:val="002060"/>
          <w:sz w:val="20"/>
          <w:szCs w:val="20"/>
        </w:rPr>
      </w:pPr>
    </w:p>
    <w:p w14:paraId="0A9775B0" w14:textId="77777777" w:rsidR="00AD7877" w:rsidRDefault="00AD7877">
      <w:pPr>
        <w:spacing w:after="0" w:line="240" w:lineRule="auto"/>
        <w:jc w:val="both"/>
        <w:rPr>
          <w:rFonts w:asciiTheme="minorHAnsi" w:eastAsia="Arial" w:hAnsiTheme="minorHAnsi" w:cstheme="minorHAnsi"/>
          <w:color w:val="002060"/>
          <w:sz w:val="20"/>
          <w:szCs w:val="20"/>
        </w:rPr>
      </w:pPr>
    </w:p>
    <w:p w14:paraId="30711F02" w14:textId="77777777" w:rsidR="00AD7877" w:rsidRDefault="00AD7877">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FBC5" w14:textId="77777777" w:rsidR="00ED5BEC" w:rsidRDefault="00ED5BEC">
      <w:pPr>
        <w:spacing w:after="0" w:line="240" w:lineRule="auto"/>
      </w:pPr>
      <w:r>
        <w:separator/>
      </w:r>
    </w:p>
  </w:endnote>
  <w:endnote w:type="continuationSeparator" w:id="0">
    <w:p w14:paraId="02487BF6" w14:textId="77777777" w:rsidR="00ED5BEC" w:rsidRDefault="00ED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B2DA" w14:textId="77777777" w:rsidR="00ED5BEC" w:rsidRDefault="00ED5BEC">
      <w:pPr>
        <w:spacing w:after="0" w:line="240" w:lineRule="auto"/>
      </w:pPr>
      <w:bookmarkStart w:id="0" w:name="_Hlk199846639"/>
      <w:bookmarkEnd w:id="0"/>
      <w:r>
        <w:separator/>
      </w:r>
    </w:p>
  </w:footnote>
  <w:footnote w:type="continuationSeparator" w:id="0">
    <w:p w14:paraId="3B5D4B73" w14:textId="77777777" w:rsidR="00ED5BEC" w:rsidRDefault="00ED5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F7D4DB0" w:rsidR="00A0012D" w:rsidRDefault="00A4673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51A2358" wp14:editId="11E755EA">
          <wp:simplePos x="0" y="0"/>
          <wp:positionH relativeFrom="column">
            <wp:posOffset>3591560</wp:posOffset>
          </wp:positionH>
          <wp:positionV relativeFrom="paragraph">
            <wp:posOffset>-62230</wp:posOffset>
          </wp:positionV>
          <wp:extent cx="1772920" cy="1182836"/>
          <wp:effectExtent l="0" t="0" r="0" b="0"/>
          <wp:wrapTight wrapText="bothSides">
            <wp:wrapPolygon edited="0">
              <wp:start x="10212" y="4176"/>
              <wp:lineTo x="8587" y="7308"/>
              <wp:lineTo x="8587" y="10440"/>
              <wp:lineTo x="10676" y="10440"/>
              <wp:lineTo x="928" y="11832"/>
              <wp:lineTo x="696" y="14965"/>
              <wp:lineTo x="4178" y="17053"/>
              <wp:lineTo x="5570" y="17053"/>
              <wp:lineTo x="20656" y="15313"/>
              <wp:lineTo x="20888" y="10440"/>
              <wp:lineTo x="12533" y="10440"/>
              <wp:lineTo x="12765" y="6612"/>
              <wp:lineTo x="11140" y="4176"/>
              <wp:lineTo x="10212" y="4176"/>
            </wp:wrapPolygon>
          </wp:wrapTight>
          <wp:docPr id="3651181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18107" name="Imagen 365118107"/>
                  <pic:cNvPicPr/>
                </pic:nvPicPr>
                <pic:blipFill>
                  <a:blip r:embed="rId1">
                    <a:extLst>
                      <a:ext uri="{28A0092B-C50C-407E-A947-70E740481C1C}">
                        <a14:useLocalDpi xmlns:a14="http://schemas.microsoft.com/office/drawing/2010/main" val="0"/>
                      </a:ext>
                    </a:extLst>
                  </a:blip>
                  <a:stretch>
                    <a:fillRect/>
                  </a:stretch>
                </pic:blipFill>
                <pic:spPr>
                  <a:xfrm>
                    <a:off x="0" y="0"/>
                    <a:ext cx="1772920" cy="118283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BCDB3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62A0341" w:rsidR="00485B13" w:rsidRPr="00FD4A72" w:rsidRDefault="00A4673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AROMAS Y BELLEZAS NATURALES EN CHIAPAS</w:t>
                          </w:r>
                        </w:p>
                        <w:p w14:paraId="2EFB9CDF" w14:textId="62F33898"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62A0341" w:rsidR="00485B13" w:rsidRPr="00FD4A72" w:rsidRDefault="00A4673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AROMAS Y BELLEZAS NATURALES EN CHIAPAS</w:t>
                    </w:r>
                  </w:p>
                  <w:p w14:paraId="2EFB9CDF" w14:textId="62F33898"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5"/>
  </w:num>
  <w:num w:numId="3" w16cid:durableId="1041170892">
    <w:abstractNumId w:val="19"/>
  </w:num>
  <w:num w:numId="4" w16cid:durableId="1033921887">
    <w:abstractNumId w:val="30"/>
  </w:num>
  <w:num w:numId="5" w16cid:durableId="353725778">
    <w:abstractNumId w:val="20"/>
  </w:num>
  <w:num w:numId="6" w16cid:durableId="1716585056">
    <w:abstractNumId w:val="37"/>
  </w:num>
  <w:num w:numId="7" w16cid:durableId="844133380">
    <w:abstractNumId w:val="13"/>
  </w:num>
  <w:num w:numId="8" w16cid:durableId="1397362128">
    <w:abstractNumId w:val="6"/>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1"/>
  </w:num>
  <w:num w:numId="15" w16cid:durableId="1904682630">
    <w:abstractNumId w:val="25"/>
  </w:num>
  <w:num w:numId="16" w16cid:durableId="460078524">
    <w:abstractNumId w:val="21"/>
  </w:num>
  <w:num w:numId="17" w16cid:durableId="1968504851">
    <w:abstractNumId w:val="28"/>
  </w:num>
  <w:num w:numId="18" w16cid:durableId="1167555093">
    <w:abstractNumId w:val="29"/>
  </w:num>
  <w:num w:numId="19" w16cid:durableId="598945982">
    <w:abstractNumId w:val="26"/>
  </w:num>
  <w:num w:numId="20" w16cid:durableId="1140269920">
    <w:abstractNumId w:val="9"/>
  </w:num>
  <w:num w:numId="21" w16cid:durableId="1109811738">
    <w:abstractNumId w:val="14"/>
  </w:num>
  <w:num w:numId="22" w16cid:durableId="797143872">
    <w:abstractNumId w:val="7"/>
  </w:num>
  <w:num w:numId="23" w16cid:durableId="1710374023">
    <w:abstractNumId w:val="15"/>
  </w:num>
  <w:num w:numId="24" w16cid:durableId="1087266389">
    <w:abstractNumId w:val="10"/>
  </w:num>
  <w:num w:numId="25" w16cid:durableId="430589986">
    <w:abstractNumId w:val="3"/>
  </w:num>
  <w:num w:numId="26" w16cid:durableId="2089766896">
    <w:abstractNumId w:val="32"/>
  </w:num>
  <w:num w:numId="27" w16cid:durableId="1020744040">
    <w:abstractNumId w:val="17"/>
  </w:num>
  <w:num w:numId="28" w16cid:durableId="417677508">
    <w:abstractNumId w:val="36"/>
  </w:num>
  <w:num w:numId="29" w16cid:durableId="1737363427">
    <w:abstractNumId w:val="12"/>
  </w:num>
  <w:num w:numId="30" w16cid:durableId="1517574432">
    <w:abstractNumId w:val="34"/>
  </w:num>
  <w:num w:numId="31" w16cid:durableId="1189097810">
    <w:abstractNumId w:val="24"/>
  </w:num>
  <w:num w:numId="32" w16cid:durableId="1428817088">
    <w:abstractNumId w:val="22"/>
  </w:num>
  <w:num w:numId="33" w16cid:durableId="1590113351">
    <w:abstractNumId w:val="22"/>
  </w:num>
  <w:num w:numId="34" w16cid:durableId="518282016">
    <w:abstractNumId w:val="5"/>
  </w:num>
  <w:num w:numId="35" w16cid:durableId="1025639067">
    <w:abstractNumId w:val="4"/>
  </w:num>
  <w:num w:numId="36" w16cid:durableId="189881332">
    <w:abstractNumId w:val="38"/>
  </w:num>
  <w:num w:numId="37" w16cid:durableId="1691026288">
    <w:abstractNumId w:val="2"/>
  </w:num>
  <w:num w:numId="38" w16cid:durableId="1860271852">
    <w:abstractNumId w:val="33"/>
  </w:num>
  <w:num w:numId="39" w16cid:durableId="1021904803">
    <w:abstractNumId w:val="8"/>
  </w:num>
  <w:num w:numId="40" w16cid:durableId="5500714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5A6"/>
    <w:rsid w:val="00A46735"/>
    <w:rsid w:val="00A979AE"/>
    <w:rsid w:val="00AA302B"/>
    <w:rsid w:val="00AB0E37"/>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56F2"/>
    <w:rsid w:val="00ED5BEC"/>
    <w:rsid w:val="00EE0996"/>
    <w:rsid w:val="00EE2794"/>
    <w:rsid w:val="00EE5A2D"/>
    <w:rsid w:val="00F01C44"/>
    <w:rsid w:val="00F139F9"/>
    <w:rsid w:val="00F14FD9"/>
    <w:rsid w:val="00F22687"/>
    <w:rsid w:val="00F257E1"/>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2026-01-21T22:07:00Z</dcterms:created>
  <dcterms:modified xsi:type="dcterms:W3CDTF">2026-01-21T22:07:00Z</dcterms:modified>
</cp:coreProperties>
</file>