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4E0D" w14:textId="3E9887A7" w:rsidR="00D30FF5" w:rsidRDefault="001A53A5" w:rsidP="001F3184">
      <w:pPr>
        <w:pStyle w:val="Sinespaciado"/>
        <w:jc w:val="center"/>
        <w:rPr>
          <w:rStyle w:val="Textoennegrita"/>
          <w:rFonts w:asciiTheme="minorHAnsi" w:hAnsiTheme="minorHAnsi" w:cstheme="minorHAnsi"/>
          <w:color w:val="FF0000"/>
          <w:sz w:val="32"/>
        </w:rPr>
      </w:pPr>
      <w:r>
        <w:rPr>
          <w:rStyle w:val="Textoennegrita"/>
          <w:rFonts w:asciiTheme="minorHAnsi" w:hAnsiTheme="minorHAnsi" w:cstheme="minorHAnsi"/>
          <w:color w:val="FF0000"/>
          <w:sz w:val="32"/>
        </w:rPr>
        <w:t>AMMÁN, MAR MUERTO Y PETRA</w:t>
      </w:r>
    </w:p>
    <w:p w14:paraId="281229EE" w14:textId="77777777" w:rsidR="001F3184" w:rsidRPr="001F3184" w:rsidRDefault="001F3184" w:rsidP="001F3184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lang w:val="es-CR"/>
        </w:rPr>
      </w:pPr>
    </w:p>
    <w:p w14:paraId="6A46FB12" w14:textId="2925DAB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7D01AE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60E21F62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miércoles y domingo,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del</w:t>
      </w:r>
      <w:r w:rsidR="001F318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15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mayo al </w:t>
      </w:r>
      <w:r w:rsidR="00E34D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 febrero</w:t>
      </w:r>
      <w:r w:rsidR="001F318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</w:p>
    <w:p w14:paraId="62AF038E" w14:textId="73AE8184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F318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A966963" w:rsidR="00BD792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2253C45" w14:textId="77777777" w:rsidR="00825867" w:rsidRPr="00825867" w:rsidRDefault="00825867" w:rsidP="0082586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u w:val="single"/>
          <w:lang w:val="es-MX" w:eastAsia="es-MX" w:bidi="en-US"/>
        </w:rPr>
      </w:pPr>
      <w:r w:rsidRPr="00825867">
        <w:rPr>
          <w:rFonts w:asciiTheme="minorHAnsi" w:eastAsia="Arial" w:hAnsiTheme="minorHAnsi" w:cstheme="minorHAnsi"/>
          <w:b/>
          <w:bCs/>
          <w:color w:val="002060"/>
          <w:u w:val="single"/>
          <w:lang w:val="es-MX" w:eastAsia="es-MX" w:bidi="en-US"/>
        </w:rPr>
        <w:t>El orden del programa varía dependiendo del día de la llegada</w:t>
      </w:r>
    </w:p>
    <w:p w14:paraId="0755D050" w14:textId="77777777" w:rsidR="00825867" w:rsidRPr="00D26E72" w:rsidRDefault="00825867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1ACD166F" w14:textId="6F370E38" w:rsidR="00D26E72" w:rsidRPr="00D26E72" w:rsidRDefault="00D26E72" w:rsidP="00D26E72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825867" w:rsidRPr="00253CEA"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</w:p>
    <w:p w14:paraId="24ADED09" w14:textId="77777777" w:rsidR="003027AC" w:rsidRPr="00853107" w:rsidRDefault="003027AC" w:rsidP="003027AC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Llegada al aeropuerto de Ammán. Encuentro, asistencia en el aeropuerto y traslado al hotel. </w:t>
      </w:r>
      <w:r w:rsidRPr="005B780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853107">
        <w:rPr>
          <w:rFonts w:ascii="Arial" w:hAnsi="Arial" w:cs="Arial"/>
          <w:b/>
          <w:sz w:val="20"/>
          <w:szCs w:val="20"/>
          <w:lang w:val="es-MX"/>
        </w:rPr>
        <w:t>.</w:t>
      </w:r>
    </w:p>
    <w:p w14:paraId="44E5591E" w14:textId="77777777" w:rsidR="00833023" w:rsidRPr="00C416FF" w:rsidRDefault="00833023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5FB09DE" w14:textId="472D7E26" w:rsidR="00253CEA" w:rsidRDefault="00251504" w:rsidP="00253CEA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53CEA" w:rsidRPr="00253CE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Ammán – </w:t>
      </w:r>
      <w:r w:rsidR="003027A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Ajlun – </w:t>
      </w:r>
      <w:proofErr w:type="spellStart"/>
      <w:r w:rsidR="003027A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Jerash</w:t>
      </w:r>
      <w:proofErr w:type="spellEnd"/>
      <w:r w:rsidR="003027A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Mar Muerto - Ammán</w:t>
      </w:r>
    </w:p>
    <w:p w14:paraId="63D79DC9" w14:textId="7123CF95" w:rsidR="00833023" w:rsidRPr="005B780B" w:rsidRDefault="003027AC" w:rsidP="00253CEA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5B780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5B780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en el hotel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salida hacia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Castillo de Ajlun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una fortaleza construida en 1185 y reconstruida en el siglo XIII por los mamelucos, tras su destrucción por los mongoles. Este castillo, de la época de los cruzados, se ubica en lo alto de una montaña y ofrece vistas panorámicas espectaculares. Seguimos hacia </w:t>
      </w:r>
      <w:proofErr w:type="spellStart"/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Jerash</w:t>
      </w:r>
      <w:proofErr w:type="spellEnd"/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una de las ciudades más importantes de la antigua Decápolis, situada a unos 45 km al norte de Ammán (aproximadamente 1 hora por carretera). Durante la visita conoceremos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Arco de Triunfo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la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Plaza Ovalada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Cardo Máximo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la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columnata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Templo de Afrodita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Teatro Romano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famoso por su excelente acústica. El buen estado de conservación de sus ruinas permite imaginar cómo eran las ciudades en la antigüedad. Regreso a Ammán para almuerzo libre. Por la tarde, salida hacia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Mar Muerto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para disfrutar de tiempo libre para bañarse en sus aguas saladas y aplicarse los famosos barros minerales. Al finalizar, regreso a Ammán. </w:t>
      </w:r>
      <w:r w:rsidRPr="005B780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05DF7727" w14:textId="77777777" w:rsidR="003027AC" w:rsidRPr="00253CEA" w:rsidRDefault="003027AC" w:rsidP="00253CE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2B2C2B99" w14:textId="618F602E" w:rsidR="003548CD" w:rsidRPr="00801181" w:rsidRDefault="00251504" w:rsidP="003548CD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027AC">
        <w:rPr>
          <w:rStyle w:val="DanmeroCar"/>
          <w:bCs/>
          <w:color w:val="FF0000"/>
          <w:sz w:val="24"/>
          <w:szCs w:val="24"/>
        </w:rPr>
        <w:t xml:space="preserve">Ammán – Betania – Madaba – Monte </w:t>
      </w:r>
      <w:proofErr w:type="spellStart"/>
      <w:r w:rsidR="003027AC">
        <w:rPr>
          <w:rStyle w:val="DanmeroCar"/>
          <w:bCs/>
          <w:color w:val="FF0000"/>
          <w:sz w:val="24"/>
          <w:szCs w:val="24"/>
        </w:rPr>
        <w:t>Nebo</w:t>
      </w:r>
      <w:proofErr w:type="spellEnd"/>
      <w:r w:rsidR="003027AC">
        <w:rPr>
          <w:rStyle w:val="DanmeroCar"/>
          <w:bCs/>
          <w:color w:val="FF0000"/>
          <w:sz w:val="24"/>
          <w:szCs w:val="24"/>
        </w:rPr>
        <w:t xml:space="preserve"> - Petra</w:t>
      </w:r>
      <w:r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202F6935" w14:textId="27122C64" w:rsidR="00833023" w:rsidRDefault="003027AC" w:rsidP="00D26E72">
      <w:pPr>
        <w:pStyle w:val="Default"/>
        <w:jc w:val="both"/>
      </w:pPr>
      <w:r w:rsidRPr="005B780B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B780B">
        <w:rPr>
          <w:rFonts w:asciiTheme="minorHAnsi" w:hAnsiTheme="minorHAnsi" w:cstheme="minorHAnsi"/>
          <w:color w:val="002060"/>
          <w:sz w:val="20"/>
          <w:szCs w:val="20"/>
        </w:rPr>
        <w:t xml:space="preserve"> y salida para realizar una visita panorámica por la ciudad de Ammán. Continuaremos hacia la zona fronteriza con Israel y Palestina, en busca </w:t>
      </w:r>
      <w:r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del río Jordán, para visitar </w:t>
      </w:r>
      <w:r w:rsidRPr="005F68CD">
        <w:rPr>
          <w:rFonts w:asciiTheme="minorHAnsi" w:hAnsiTheme="minorHAnsi" w:cstheme="minorHAnsi"/>
          <w:bCs/>
          <w:color w:val="002060"/>
          <w:sz w:val="20"/>
          <w:szCs w:val="20"/>
        </w:rPr>
        <w:t>Betania</w:t>
      </w:r>
      <w:r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, uno de los lugares más místicos y espirituales de Jordania. Se cree que aquí fue bautizado Jesús por San Juan Bautista. El sitio arqueológico, situado en la orilla oriental del río Jordán y a 9 km del Mar Muerto, fue abierto al público en el año 2000 y reconocido oficialmente por el Vaticano, con la asistencia del Papa Juan Pablo II en su inauguración. Seguiremos hacia </w:t>
      </w:r>
      <w:r w:rsidRPr="005F68CD">
        <w:rPr>
          <w:rFonts w:asciiTheme="minorHAnsi" w:hAnsiTheme="minorHAnsi" w:cstheme="minorHAnsi"/>
          <w:bCs/>
          <w:color w:val="002060"/>
          <w:sz w:val="20"/>
          <w:szCs w:val="20"/>
        </w:rPr>
        <w:t>Madaba</w:t>
      </w:r>
      <w:r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 para visitar la Iglesia Ortodoxa de San Jorge, donde se encuentra el famoso mapa-mosaico más antiguo de Palestina. A continuación, iremos al </w:t>
      </w:r>
      <w:r w:rsidRPr="005F68CD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Monte </w:t>
      </w:r>
      <w:proofErr w:type="spellStart"/>
      <w:r w:rsidRPr="005F68CD">
        <w:rPr>
          <w:rFonts w:asciiTheme="minorHAnsi" w:hAnsiTheme="minorHAnsi" w:cstheme="minorHAnsi"/>
          <w:bCs/>
          <w:color w:val="002060"/>
          <w:sz w:val="20"/>
          <w:szCs w:val="20"/>
        </w:rPr>
        <w:t>Nebo</w:t>
      </w:r>
      <w:proofErr w:type="spellEnd"/>
      <w:r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 para admirar la vista panorámica del Valle del Jordán y el Mar Muerto. Este lugar es significativo porque, según la tradición, fue desde aquí donde Moisés vio la Tierra Prometida antes de morir.</w:t>
      </w:r>
      <w:r w:rsidR="005B780B"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Traslado a Petra. </w:t>
      </w:r>
      <w:r w:rsidRPr="005F68CD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5F68CD">
        <w:t>.</w:t>
      </w:r>
    </w:p>
    <w:p w14:paraId="7F3DBA69" w14:textId="7E255649" w:rsidR="001B5FB1" w:rsidRDefault="001B5FB1" w:rsidP="00D26E72">
      <w:pPr>
        <w:pStyle w:val="Default"/>
        <w:jc w:val="both"/>
      </w:pPr>
    </w:p>
    <w:p w14:paraId="15F16B68" w14:textId="6E1E268C" w:rsidR="001B5FB1" w:rsidRPr="00801181" w:rsidRDefault="001B5FB1" w:rsidP="001B5FB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4| </w:t>
      </w:r>
      <w:r>
        <w:rPr>
          <w:rStyle w:val="DanmeroCar"/>
          <w:bCs/>
          <w:color w:val="FF0000"/>
          <w:sz w:val="24"/>
          <w:szCs w:val="24"/>
        </w:rPr>
        <w:t xml:space="preserve">Pequeña Petra – Petra – Ammán </w:t>
      </w:r>
      <w:r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796C305E" w14:textId="4EBEB5DB" w:rsidR="001B5FB1" w:rsidRPr="00924DF8" w:rsidRDefault="0088647A" w:rsidP="00D26E72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24DF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y salida hacia </w:t>
      </w:r>
      <w:r w:rsidRPr="00924DF8">
        <w:rPr>
          <w:bCs/>
          <w:color w:val="002060"/>
          <w:sz w:val="20"/>
          <w:szCs w:val="20"/>
        </w:rPr>
        <w:t xml:space="preserve">Al </w:t>
      </w:r>
      <w:proofErr w:type="spellStart"/>
      <w:r w:rsidRPr="00924DF8">
        <w:rPr>
          <w:bCs/>
          <w:color w:val="002060"/>
          <w:sz w:val="20"/>
          <w:szCs w:val="20"/>
        </w:rPr>
        <w:t>Beida</w:t>
      </w:r>
      <w:proofErr w:type="spellEnd"/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, conocida como la </w:t>
      </w:r>
      <w:r w:rsidRPr="0050250A">
        <w:rPr>
          <w:iCs/>
          <w:color w:val="002060"/>
          <w:sz w:val="20"/>
          <w:szCs w:val="20"/>
        </w:rPr>
        <w:t>Pequeña Petra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, un antiguo asentamiento y </w:t>
      </w:r>
      <w:proofErr w:type="spellStart"/>
      <w:r w:rsidRPr="00924DF8">
        <w:rPr>
          <w:rFonts w:asciiTheme="minorHAnsi" w:hAnsiTheme="minorHAnsi" w:cstheme="minorHAnsi"/>
          <w:color w:val="002060"/>
          <w:sz w:val="20"/>
          <w:szCs w:val="20"/>
        </w:rPr>
        <w:t>caravanserai</w:t>
      </w:r>
      <w:proofErr w:type="spellEnd"/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que servía de parada a las caravanas que se dirigían a la ciudad principal.</w:t>
      </w:r>
      <w:r w:rsidR="00924DF8"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Después, dedicaremos el día completo a conocer </w:t>
      </w:r>
      <w:r w:rsidRPr="00924DF8">
        <w:rPr>
          <w:bCs/>
          <w:color w:val="002060"/>
          <w:sz w:val="20"/>
          <w:szCs w:val="20"/>
        </w:rPr>
        <w:t>Petra</w:t>
      </w:r>
      <w:r w:rsidRPr="00924DF8">
        <w:rPr>
          <w:rFonts w:asciiTheme="minorHAnsi" w:hAnsiTheme="minorHAnsi" w:cstheme="minorHAnsi"/>
          <w:b/>
          <w:color w:val="002060"/>
          <w:sz w:val="20"/>
          <w:szCs w:val="20"/>
        </w:rPr>
        <w:t>,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la capital nabatea y una de las maravillas arqueológicas más impresionantes del mundo. Entre sus monumentos más destacados se encuentran </w:t>
      </w:r>
      <w:r w:rsidRPr="00924DF8">
        <w:rPr>
          <w:bCs/>
          <w:color w:val="002060"/>
          <w:sz w:val="20"/>
          <w:szCs w:val="20"/>
        </w:rPr>
        <w:t>El Tesoro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(famoso por aparecer en una película de </w:t>
      </w:r>
      <w:r w:rsidRPr="00490C1D">
        <w:rPr>
          <w:iCs/>
          <w:color w:val="002060"/>
          <w:sz w:val="20"/>
          <w:szCs w:val="20"/>
        </w:rPr>
        <w:t>Indiana Jones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), las </w:t>
      </w:r>
      <w:r w:rsidRPr="00924DF8">
        <w:rPr>
          <w:bCs/>
          <w:color w:val="002060"/>
          <w:sz w:val="20"/>
          <w:szCs w:val="20"/>
        </w:rPr>
        <w:t>Tumbas de Colores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, las </w:t>
      </w:r>
      <w:r w:rsidRPr="00924DF8">
        <w:rPr>
          <w:bCs/>
          <w:color w:val="002060"/>
          <w:sz w:val="20"/>
          <w:szCs w:val="20"/>
        </w:rPr>
        <w:t>Tumbas Reales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Pr="00924DF8">
        <w:rPr>
          <w:bCs/>
          <w:color w:val="002060"/>
          <w:sz w:val="20"/>
          <w:szCs w:val="20"/>
        </w:rPr>
        <w:t>Monasterio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>. Petra es un lugar único que, sin duda, merece ser visitado al menos una vez en la vida.</w:t>
      </w:r>
      <w:r w:rsidR="00924DF8"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Al finalizar la visita, regreso a Ammán. </w:t>
      </w:r>
      <w:r w:rsidRPr="00924DF8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08253763" w14:textId="77777777" w:rsidR="003027AC" w:rsidRPr="00D26E72" w:rsidRDefault="003027AC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04C41D86" w14:textId="024685FD" w:rsidR="003027AC" w:rsidRDefault="00C416FF" w:rsidP="003027AC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</w:t>
      </w:r>
      <w:r w:rsidR="001B5FB1">
        <w:rPr>
          <w:rStyle w:val="DanmeroCar"/>
          <w:bCs/>
          <w:sz w:val="24"/>
          <w:szCs w:val="24"/>
        </w:rPr>
        <w:t xml:space="preserve"> 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53CEA">
        <w:rPr>
          <w:rStyle w:val="DanmeroCar"/>
          <w:bCs/>
          <w:color w:val="FF0000"/>
          <w:sz w:val="24"/>
          <w:szCs w:val="24"/>
        </w:rPr>
        <w:t>Ammán</w:t>
      </w:r>
      <w:r w:rsidR="003027AC">
        <w:rPr>
          <w:rStyle w:val="DanmeroCar"/>
          <w:bCs/>
          <w:color w:val="FF0000"/>
          <w:sz w:val="24"/>
          <w:szCs w:val="24"/>
        </w:rPr>
        <w:t xml:space="preserve"> </w:t>
      </w:r>
    </w:p>
    <w:p w14:paraId="2C9677A7" w14:textId="1646AC85" w:rsidR="003027AC" w:rsidRPr="003027AC" w:rsidRDefault="003027AC" w:rsidP="003027AC">
      <w:pPr>
        <w:pStyle w:val="Ttulo2"/>
        <w:spacing w:before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027A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3027A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Traslado al aeropuerto de Ammán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3027A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027A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Fin d</w:t>
      </w:r>
      <w:r w:rsidRPr="005F68C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 los</w:t>
      </w:r>
      <w:r w:rsidRPr="003027A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servicios</w:t>
      </w:r>
      <w:r w:rsidRPr="003027A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1DC76D4" w14:textId="0CB94014" w:rsidR="005F68CD" w:rsidRPr="005F68CD" w:rsidRDefault="005F68CD" w:rsidP="005F68CD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5F68C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Nota: Si se desea realizar el traslado hacia otro destino, como el </w:t>
      </w:r>
      <w:r w:rsidRPr="005F68C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aeropuerto de Aqaba</w:t>
      </w:r>
      <w:r w:rsidRPr="005F68C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o el </w:t>
      </w:r>
      <w:r w:rsidRPr="005F68C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Puerto de Aqaba</w:t>
      </w:r>
      <w:r w:rsidRPr="005F68C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, se aplicará un costo adicional de </w:t>
      </w:r>
      <w:r w:rsidRPr="005F68C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1</w:t>
      </w:r>
      <w:r w:rsidR="001B5FB1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35</w:t>
      </w:r>
      <w:r w:rsidRPr="005F68C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 xml:space="preserve"> USD por persona</w:t>
      </w:r>
      <w:r w:rsidRPr="005F68C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.</w:t>
      </w:r>
    </w:p>
    <w:p w14:paraId="25262F5C" w14:textId="77777777" w:rsidR="005F68CD" w:rsidRPr="00065540" w:rsidRDefault="005F68CD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 xml:space="preserve">INCLUYE: </w:t>
      </w:r>
    </w:p>
    <w:p w14:paraId="2086F9E1" w14:textId="276D03BC" w:rsidR="004528EE" w:rsidRPr="000C1789" w:rsidRDefault="00325D89" w:rsidP="00EC5DC9">
      <w:pPr>
        <w:pStyle w:val="Sinespaciado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/>
        </w:rPr>
        <w:t>4</w:t>
      </w:r>
      <w:r w:rsidR="004528EE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noches de alojamiento en hoteles seleccionados o similares</w:t>
      </w:r>
    </w:p>
    <w:p w14:paraId="10C78882" w14:textId="184D9264" w:rsidR="004528EE" w:rsidRPr="000C1789" w:rsidRDefault="00325D89" w:rsidP="00EC5DC9">
      <w:pPr>
        <w:pStyle w:val="Sinespaciado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/>
        </w:rPr>
        <w:t>3</w:t>
      </w:r>
      <w:r w:rsidR="004528EE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0C1789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>desayuno</w:t>
      </w:r>
      <w:r w:rsidR="000B3264">
        <w:rPr>
          <w:rFonts w:asciiTheme="minorHAnsi" w:hAnsiTheme="minorHAnsi" w:cstheme="minorHAnsi"/>
          <w:color w:val="002060"/>
          <w:sz w:val="20"/>
          <w:szCs w:val="20"/>
          <w:lang w:val="es-ES"/>
        </w:rPr>
        <w:t>s</w:t>
      </w:r>
      <w:r w:rsidR="000C1789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3 </w:t>
      </w:r>
      <w:r w:rsidR="004528EE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>cena</w:t>
      </w:r>
      <w:r>
        <w:rPr>
          <w:rFonts w:asciiTheme="minorHAnsi" w:hAnsiTheme="minorHAnsi" w:cstheme="minorHAnsi"/>
          <w:color w:val="002060"/>
          <w:sz w:val="20"/>
          <w:szCs w:val="20"/>
          <w:lang w:val="es-ES"/>
        </w:rPr>
        <w:t>s</w:t>
      </w:r>
      <w:r w:rsidR="004528EE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(s</w:t>
      </w:r>
      <w:r w:rsidR="000C1789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>i</w:t>
      </w:r>
      <w:r w:rsidR="004528EE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n bebidas) </w:t>
      </w:r>
    </w:p>
    <w:p w14:paraId="252FCF84" w14:textId="24B9A74D" w:rsidR="00EC5DC9" w:rsidRPr="00EC5DC9" w:rsidRDefault="00EC5DC9" w:rsidP="00EC5DC9">
      <w:pPr>
        <w:pStyle w:val="Prrafodelista"/>
        <w:numPr>
          <w:ilvl w:val="0"/>
          <w:numId w:val="25"/>
        </w:numPr>
        <w:ind w:left="851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EC5DC9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Traslados aeropuerto–hotel–aeropuerto en Ammán </w:t>
      </w:r>
    </w:p>
    <w:p w14:paraId="3638C1D6" w14:textId="79DCD758" w:rsidR="00EC5DC9" w:rsidRPr="00EC5DC9" w:rsidRDefault="00EC5DC9" w:rsidP="00EC5DC9">
      <w:pPr>
        <w:pStyle w:val="Prrafodelista"/>
        <w:numPr>
          <w:ilvl w:val="0"/>
          <w:numId w:val="25"/>
        </w:numPr>
        <w:ind w:left="851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EC5DC9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Transporte en servicios compartidos</w:t>
      </w:r>
    </w:p>
    <w:p w14:paraId="1C6BD8ED" w14:textId="283E4AF3" w:rsidR="00EC5DC9" w:rsidRPr="00EC5DC9" w:rsidRDefault="00EC5DC9" w:rsidP="00EC5DC9">
      <w:pPr>
        <w:pStyle w:val="Prrafodelista"/>
        <w:numPr>
          <w:ilvl w:val="0"/>
          <w:numId w:val="25"/>
        </w:numPr>
        <w:ind w:left="851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EC5DC9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Excursiones y visitas indicadas en el itinerario</w:t>
      </w:r>
    </w:p>
    <w:p w14:paraId="70583B1E" w14:textId="251779D8" w:rsidR="00EC5DC9" w:rsidRPr="00EC5DC9" w:rsidRDefault="00EC5DC9" w:rsidP="00EC5DC9">
      <w:pPr>
        <w:pStyle w:val="Prrafodelista"/>
        <w:numPr>
          <w:ilvl w:val="0"/>
          <w:numId w:val="25"/>
        </w:numPr>
        <w:ind w:left="851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EC5DC9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Guía local de habla hispana durante las visitas.</w:t>
      </w:r>
    </w:p>
    <w:p w14:paraId="03E0E88F" w14:textId="6EBEFB03" w:rsidR="00EC5DC9" w:rsidRPr="00EC5DC9" w:rsidRDefault="00EC5DC9" w:rsidP="00EC5DC9">
      <w:pPr>
        <w:pStyle w:val="Prrafodelista"/>
        <w:numPr>
          <w:ilvl w:val="0"/>
          <w:numId w:val="25"/>
        </w:numPr>
        <w:ind w:left="851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EC5DC9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Entradas a los sitios mencionados.</w:t>
      </w:r>
    </w:p>
    <w:p w14:paraId="6682BEB7" w14:textId="77777777" w:rsidR="002224D8" w:rsidRPr="000C1789" w:rsidRDefault="002224D8" w:rsidP="000C1789">
      <w:pPr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F693958" w:rsidR="00152D96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domésticos.</w:t>
      </w:r>
    </w:p>
    <w:p w14:paraId="0C2F7C6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15D30F1B" w:rsidR="002224D8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Propinas,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35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40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USD promedio por persona)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pago directamente en destino</w:t>
      </w:r>
    </w:p>
    <w:p w14:paraId="14C40EE7" w14:textId="4010FD7F" w:rsidR="00152D96" w:rsidRPr="00B658C3" w:rsidRDefault="002224D8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no especificadas en el programa </w:t>
      </w:r>
    </w:p>
    <w:p w14:paraId="00E4D05E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cualquier gasto personal</w:t>
      </w: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33D23B52" w:rsidR="007D254B" w:rsidRPr="00AF5687" w:rsidRDefault="007D254B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</w:rPr>
        <w:t xml:space="preserve">El </w:t>
      </w:r>
      <w:r w:rsidRPr="00AF5687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DC262B9" w14:textId="1E7FA552" w:rsidR="00AF5687" w:rsidRPr="00AF5687" w:rsidRDefault="00AF5687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Se puede obtener el visado de entrada a la llegada a cualquiera de las fronteras jordanas excepto si se entra en el país por el Puente </w:t>
      </w: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Allenby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(en cuyo caso es necesario haberlo conseguido antes de la llegada al mismo, en su país de origen o cualquier Embajada de Jordania). El costo es de aprox. 60 USD por persona.</w:t>
      </w:r>
    </w:p>
    <w:p w14:paraId="06149031" w14:textId="5E1D99C1" w:rsidR="00AF5687" w:rsidRPr="00AF5687" w:rsidRDefault="00AF5687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>El pago se hace en moneda local y los clientes pueden conseguir el cambio en el Banco o casa de cambio que hay a tal efecto en el aeropuerto en llegadas.</w:t>
      </w:r>
    </w:p>
    <w:p w14:paraId="233A8DD6" w14:textId="22CEACA8" w:rsidR="00AF5687" w:rsidRPr="00AF5687" w:rsidRDefault="00AF5687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Hab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triple: se confirma habitación doble + cama supletoria. No hay descuento para la tercera persona; paga tarifa completa.</w:t>
      </w:r>
    </w:p>
    <w:p w14:paraId="2692A89C" w14:textId="72A0F93D" w:rsidR="00AF5687" w:rsidRPr="00AF5687" w:rsidRDefault="00AF5687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Aplica suplemento para traslados nocturnos (consultar </w:t>
      </w: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Shop Pack)</w:t>
      </w:r>
    </w:p>
    <w:p w14:paraId="248687C2" w14:textId="57C1044C" w:rsidR="00AF5687" w:rsidRPr="00AF5687" w:rsidRDefault="00AF5687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Actividad Petra </w:t>
      </w: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by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Night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sólo opera de domingos a jueves en horario de 20:30hrs a 22:30hrs, tiene un costo de 45 USD por persona y se paga en destino. Previamente se le debe comunicar al guía para que lo considere y lo reserva. Siempre está sujeto a condiciones meteorológicas.</w:t>
      </w:r>
    </w:p>
    <w:p w14:paraId="794DB0A8" w14:textId="3626A179" w:rsidR="007D254B" w:rsidRPr="00AF5687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024ECD" w:rsidRPr="00AF5687">
        <w:rPr>
          <w:rFonts w:asciiTheme="minorHAnsi" w:hAnsiTheme="minorHAnsi" w:cstheme="minorHAnsi"/>
          <w:b/>
          <w:bCs/>
          <w:color w:val="002060"/>
          <w:sz w:val="20"/>
          <w:szCs w:val="20"/>
        </w:rPr>
        <w:t>para Navidad, Fin de Año, Semana Santa (consultar tarifas)</w:t>
      </w:r>
    </w:p>
    <w:p w14:paraId="25E2A7DD" w14:textId="7A9AE7E4" w:rsidR="004D0C08" w:rsidRPr="00AF5687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b/>
          <w:color w:val="002060"/>
          <w:sz w:val="20"/>
          <w:szCs w:val="20"/>
        </w:rPr>
        <w:t>Consultar tarifa para</w:t>
      </w:r>
      <w:r w:rsidR="00024ECD" w:rsidRPr="00AF568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pasajero</w:t>
      </w:r>
      <w:r w:rsidRPr="00AF568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viajando solo </w:t>
      </w:r>
    </w:p>
    <w:bookmarkEnd w:id="0"/>
    <w:p w14:paraId="5376B189" w14:textId="1F5DAAE8" w:rsidR="00024ECD" w:rsidRPr="00AF5687" w:rsidRDefault="00024ECD" w:rsidP="00024ECD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Jordania</w:t>
      </w:r>
    </w:p>
    <w:p w14:paraId="0B85B5A8" w14:textId="570D23F0" w:rsidR="00024ECD" w:rsidRPr="00E34C37" w:rsidRDefault="00024ECD" w:rsidP="00024ECD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JORDANIA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2E28973D" w14:textId="77777777" w:rsidR="00E34C37" w:rsidRPr="003940D8" w:rsidRDefault="00E34C37" w:rsidP="00E34C37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12"/>
          <w:szCs w:val="20"/>
          <w:lang w:val="es-MX" w:eastAsia="es-MX"/>
        </w:rPr>
      </w:pPr>
    </w:p>
    <w:tbl>
      <w:tblPr>
        <w:tblW w:w="59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996"/>
        <w:gridCol w:w="3658"/>
        <w:gridCol w:w="448"/>
      </w:tblGrid>
      <w:tr w:rsidR="003940D8" w:rsidRPr="003940D8" w14:paraId="0B4265A6" w14:textId="77777777" w:rsidTr="003940D8">
        <w:trPr>
          <w:trHeight w:val="25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76389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3940D8" w:rsidRPr="003940D8" w14:paraId="0E64073A" w14:textId="77777777" w:rsidTr="003940D8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253D8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74455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559ED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7CC44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3940D8" w:rsidRPr="003940D8" w14:paraId="02E8388B" w14:textId="77777777" w:rsidTr="003940D8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5EA3A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788B6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AMMÁN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49F8F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MENA TYCHE / SULAF LUXURY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A0B16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3940D8" w:rsidRPr="003940D8" w14:paraId="53D9E1C3" w14:textId="77777777" w:rsidTr="003940D8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CF31" w14:textId="77777777" w:rsidR="003940D8" w:rsidRPr="003940D8" w:rsidRDefault="003940D8" w:rsidP="003940D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24219" w14:textId="77777777" w:rsidR="003940D8" w:rsidRPr="003940D8" w:rsidRDefault="003940D8" w:rsidP="003940D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EABDF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LAND MARK / SIGNIA BY HILTON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46E57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3940D8" w:rsidRPr="003940D8" w14:paraId="1B8CFE29" w14:textId="77777777" w:rsidTr="003940D8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6CDBB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F5B3F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PETRA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C5156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PETRA ELITE / QUATTRO/ PETRA NIGHTS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914BA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3940D8" w:rsidRPr="003940D8" w14:paraId="235E0818" w14:textId="77777777" w:rsidTr="003940D8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F3587" w14:textId="77777777" w:rsidR="003940D8" w:rsidRPr="003940D8" w:rsidRDefault="003940D8" w:rsidP="003940D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52C38" w14:textId="77777777" w:rsidR="003940D8" w:rsidRPr="003940D8" w:rsidRDefault="003940D8" w:rsidP="003940D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E58AD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MERCURE PETRA / HAYAT ZAMAN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CDA42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062A89A8" w14:textId="28EF982C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0AAD94EC" w14:textId="4036D968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40002B71" w14:textId="618F72FA" w:rsidR="00DF3F65" w:rsidRDefault="00DF3F65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74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9"/>
        <w:gridCol w:w="877"/>
        <w:gridCol w:w="959"/>
      </w:tblGrid>
      <w:tr w:rsidR="00DF3F65" w:rsidRPr="00DF3F65" w14:paraId="61A04610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7F289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DF3F65" w:rsidRPr="00DF3F65" w14:paraId="698B7A72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BAEA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DF3F65" w:rsidRPr="00DF3F65" w14:paraId="75F59F0C" w14:textId="77777777" w:rsidTr="00DF3F65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66A5" w14:textId="77777777" w:rsidR="00DF3F65" w:rsidRPr="00DF3F65" w:rsidRDefault="00DF3F65" w:rsidP="00DF3F6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F8BC0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12D5B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DF3F65" w:rsidRPr="00DF3F65" w14:paraId="7F7F5B04" w14:textId="77777777" w:rsidTr="00DF3F65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388E4" w14:textId="77777777" w:rsidR="00DF3F65" w:rsidRPr="00DF3F65" w:rsidRDefault="00DF3F65" w:rsidP="00DF3F6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21 NOV 2025 AL 18 DIC 2025/ 08 ENE 2026 AL 20 FEB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784A5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>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8847B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>860</w:t>
            </w:r>
          </w:p>
        </w:tc>
      </w:tr>
      <w:tr w:rsidR="00DF3F65" w:rsidRPr="00DF3F65" w14:paraId="444B732B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39DB7" w14:textId="77777777" w:rsidR="00DF3F65" w:rsidRPr="00DF3F65" w:rsidRDefault="00DF3F65" w:rsidP="00DF3F6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>20 SEP 2025 AL 20 NOV 2025/ 19 DIC 2025 AL 07 ENERO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659A8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>735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A7C9E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>930</w:t>
            </w:r>
          </w:p>
        </w:tc>
      </w:tr>
      <w:tr w:rsidR="00DF3F65" w:rsidRPr="00DF3F65" w14:paraId="737CFC91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E1430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92790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FAD01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DF3F65" w:rsidRPr="00DF3F65" w14:paraId="5A3F7819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23486" w14:textId="77777777" w:rsidR="00DF3F65" w:rsidRPr="00DF3F65" w:rsidRDefault="00DF3F65" w:rsidP="00DF3F6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21 NOV 2025 AL 18 DIC 2025/ 08 ENE 2026 AL 20 FEB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5B73F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>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3B910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>1150</w:t>
            </w:r>
          </w:p>
        </w:tc>
      </w:tr>
      <w:tr w:rsidR="00DF3F65" w:rsidRPr="00DF3F65" w14:paraId="17586F04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F3664" w14:textId="77777777" w:rsidR="00DF3F65" w:rsidRPr="00DF3F65" w:rsidRDefault="00DF3F65" w:rsidP="00DF3F6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>20 SEP 2025 AL 20 NOV 2025/ 19 DIC 2025 AL 07 ENERO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675F8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>875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86431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sz w:val="20"/>
                <w:szCs w:val="20"/>
                <w:lang w:val="es-MX" w:eastAsia="es-MX"/>
              </w:rPr>
              <w:t>1215</w:t>
            </w:r>
          </w:p>
        </w:tc>
      </w:tr>
      <w:tr w:rsidR="00DF3F65" w:rsidRPr="00DF3F65" w14:paraId="574AA3A8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79D4F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DF3F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DF3F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DF3F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DF3F6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20 FEBRERO 2026</w:t>
            </w:r>
          </w:p>
        </w:tc>
      </w:tr>
      <w:tr w:rsidR="00DF3F65" w:rsidRPr="00DF3F65" w14:paraId="62205426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55A91" w14:textId="77777777" w:rsidR="00DF3F65" w:rsidRPr="00DF3F65" w:rsidRDefault="00DF3F65" w:rsidP="00DF3F6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F3F65" w:rsidRPr="00DF3F65" w14:paraId="4BC6A69D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93017" w14:textId="77777777" w:rsidR="00DF3F65" w:rsidRPr="00DF3F65" w:rsidRDefault="00DF3F65" w:rsidP="00DF3F6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F3F65" w:rsidRPr="00DF3F65" w14:paraId="61E6199E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C116" w14:textId="77777777" w:rsidR="00DF3F65" w:rsidRPr="00DF3F65" w:rsidRDefault="00DF3F65" w:rsidP="00DF3F6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4FB0289A" w14:textId="30A887B3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ECF71E" wp14:editId="771A8F87">
            <wp:simplePos x="0" y="0"/>
            <wp:positionH relativeFrom="column">
              <wp:posOffset>2711450</wp:posOffset>
            </wp:positionH>
            <wp:positionV relativeFrom="paragraph">
              <wp:posOffset>133350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96767" w14:textId="4C6AB89D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1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  <w:gridCol w:w="1042"/>
      </w:tblGrid>
      <w:tr w:rsidR="000E0169" w:rsidRPr="000E0169" w14:paraId="3271CC7F" w14:textId="77777777" w:rsidTr="002D6392">
        <w:trPr>
          <w:trHeight w:val="13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25347" w14:textId="77777777" w:rsidR="000E0169" w:rsidRPr="000E0169" w:rsidRDefault="000E0169" w:rsidP="000E016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E01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0E0169" w:rsidRPr="000E0169" w14:paraId="2D671887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EE7CC" w14:textId="1B021182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pre y post cat. Primera en Ammán con desayuno en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DBL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F57C7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0E0169" w:rsidRPr="000E0169" w14:paraId="20188D55" w14:textId="77777777" w:rsidTr="002D6392">
        <w:trPr>
          <w:trHeight w:val="148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4C577" w14:textId="231A4462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pre y post cat. Primera en Ammán con desayuno en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SGL 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84415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tr w:rsidR="000E0169" w:rsidRPr="000E0169" w14:paraId="400B05BC" w14:textId="77777777" w:rsidTr="002D6392">
        <w:trPr>
          <w:trHeight w:val="140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2B617" w14:textId="4D430CEA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pre y post cat. Superior en Ammán con desayuno en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083BF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0E0169" w:rsidRPr="000E0169" w14:paraId="0524005A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7E4DA" w14:textId="128EB570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pre y post cat. Superior en Ammán con desayuno en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333B9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0E0169" w:rsidRPr="000E0169" w14:paraId="7F50A4B7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E3364" w14:textId="27118F87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doble en hotel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Movenpick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resort en petra 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67418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0E0169" w:rsidRPr="000E0169" w14:paraId="0396FA97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C052D" w14:textId="313FB507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sencilla en hotel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Movenpick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resort en petra 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F838F" w14:textId="4E39FB4A" w:rsidR="000E0169" w:rsidRPr="000E0169" w:rsidRDefault="007D5B83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0E0169" w:rsidRPr="000E0169" w14:paraId="2643A0C6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2D13" w14:textId="6110EB4D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3 almuerzos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610EA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0E0169" w:rsidRPr="000E0169" w14:paraId="30976347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B9583" w14:textId="72F85CAD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Suplemento traslados nocturnos </w:t>
            </w:r>
            <w:r w:rsidR="000E0169"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(hotel - aeropuerto o puerto o frontera o viceversa) entre las 23:00hrs hasta las 06.00hrs 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3844E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0E0169" w:rsidRPr="000E0169" w14:paraId="1EC861B0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86473" w14:textId="3CC459DA" w:rsidR="000E0169" w:rsidRPr="000E0169" w:rsidRDefault="00CE4F12" w:rsidP="002D639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Excursión a castillos del desierto desde Ammán, en servicios privados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25875" w14:textId="77777777" w:rsidR="000E0169" w:rsidRPr="000E0169" w:rsidRDefault="000E0169" w:rsidP="002D639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0E0169" w:rsidRPr="000E0169" w14:paraId="506A7330" w14:textId="77777777" w:rsidTr="002D6392">
        <w:trPr>
          <w:trHeight w:val="521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866F8" w14:textId="60410E88" w:rsidR="000E0169" w:rsidRPr="000E0169" w:rsidRDefault="00CE4F12" w:rsidP="002D6392">
            <w:pPr>
              <w:spacing w:line="48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Umm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Qais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desde Ammán, en servicios privados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2FD41" w14:textId="77777777" w:rsidR="000E0169" w:rsidRPr="000E0169" w:rsidRDefault="000E0169" w:rsidP="002D6392">
            <w:pPr>
              <w:spacing w:line="48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250</w:t>
            </w:r>
            <w:bookmarkStart w:id="1" w:name="_GoBack"/>
            <w:bookmarkEnd w:id="1"/>
          </w:p>
        </w:tc>
      </w:tr>
    </w:tbl>
    <w:p w14:paraId="7155B266" w14:textId="77777777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7DB402D4" w14:textId="369AB192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33302992" w14:textId="32DA9CF8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750D05F1" w14:textId="0FFD6F88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6A052102" w14:textId="0DEF4EA3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sectPr w:rsidR="00E34C37" w:rsidSect="00D04A79">
      <w:headerReference w:type="default" r:id="rId9"/>
      <w:footerReference w:type="default" r:id="rId10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79551" w14:textId="77777777" w:rsidR="00C01B7D" w:rsidRDefault="00C01B7D" w:rsidP="000D4B74">
      <w:r>
        <w:separator/>
      </w:r>
    </w:p>
  </w:endnote>
  <w:endnote w:type="continuationSeparator" w:id="0">
    <w:p w14:paraId="54A5533D" w14:textId="77777777" w:rsidR="00C01B7D" w:rsidRDefault="00C01B7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34516" w14:textId="77777777" w:rsidR="00C01B7D" w:rsidRDefault="00C01B7D" w:rsidP="000D4B74">
      <w:r>
        <w:separator/>
      </w:r>
    </w:p>
  </w:footnote>
  <w:footnote w:type="continuationSeparator" w:id="0">
    <w:p w14:paraId="1A8E6FBF" w14:textId="77777777" w:rsidR="00C01B7D" w:rsidRDefault="00C01B7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33CE26DD" w:rsidR="009C6818" w:rsidRDefault="00DB095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4167F43D" wp14:editId="12053DCC">
          <wp:simplePos x="0" y="0"/>
          <wp:positionH relativeFrom="column">
            <wp:posOffset>3911600</wp:posOffset>
          </wp:positionH>
          <wp:positionV relativeFrom="paragraph">
            <wp:posOffset>255270</wp:posOffset>
          </wp:positionV>
          <wp:extent cx="908050" cy="605818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605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8738487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40C4086D" w:rsidR="009A7BDC" w:rsidRDefault="00DD5C9B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JORDANIA </w:t>
                          </w:r>
                          <w:r w:rsidR="006E1CC9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 TU ALCANCE </w:t>
                          </w:r>
                        </w:p>
                        <w:p w14:paraId="32EB838D" w14:textId="66EC30B2" w:rsidR="009C6818" w:rsidRPr="0002598A" w:rsidRDefault="006E1CC9" w:rsidP="009C6818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DD5C9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199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-A2025</w:t>
                          </w:r>
                          <w:r w:rsidR="00DD5C9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40C4086D" w:rsidR="009A7BDC" w:rsidRDefault="00DD5C9B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JORDANIA </w:t>
                    </w:r>
                    <w:r w:rsidR="006E1CC9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 TU ALCANCE </w:t>
                    </w:r>
                  </w:p>
                  <w:p w14:paraId="32EB838D" w14:textId="66EC30B2" w:rsidR="009C6818" w:rsidRPr="0002598A" w:rsidRDefault="006E1CC9" w:rsidP="009C6818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DD5C9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199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-A2025</w:t>
                    </w:r>
                    <w:r w:rsidR="00DD5C9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/2026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72F">
      <w:rPr>
        <w:rFonts w:ascii="Arial" w:eastAsia="Arial" w:hAnsi="Arial" w:cs="Arial"/>
        <w:color w:val="000000"/>
        <w:sz w:val="48"/>
        <w:szCs w:val="48"/>
      </w:rPr>
      <w:t>/</w:t>
    </w:r>
  </w:p>
  <w:p w14:paraId="56D6F717" w14:textId="5D58D41C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0ECAC34C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mso88"/>
      </v:shape>
    </w:pict>
  </w:numPicBullet>
  <w:numPicBullet w:numPicBulletId="1">
    <w:pict>
      <v:shape id="_x0000_i1047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7566A"/>
    <w:multiLevelType w:val="multilevel"/>
    <w:tmpl w:val="BA0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45754"/>
    <w:multiLevelType w:val="hybridMultilevel"/>
    <w:tmpl w:val="82C896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B0558E"/>
    <w:multiLevelType w:val="hybridMultilevel"/>
    <w:tmpl w:val="EF5C51A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96DFE"/>
    <w:multiLevelType w:val="hybridMultilevel"/>
    <w:tmpl w:val="F7540CFC"/>
    <w:lvl w:ilvl="0" w:tplc="B1D23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4248C"/>
    <w:multiLevelType w:val="hybridMultilevel"/>
    <w:tmpl w:val="B2EC90CC"/>
    <w:lvl w:ilvl="0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17"/>
  </w:num>
  <w:num w:numId="7">
    <w:abstractNumId w:val="0"/>
  </w:num>
  <w:num w:numId="8">
    <w:abstractNumId w:val="13"/>
  </w:num>
  <w:num w:numId="9">
    <w:abstractNumId w:val="14"/>
  </w:num>
  <w:num w:numId="10">
    <w:abstractNumId w:val="3"/>
  </w:num>
  <w:num w:numId="11">
    <w:abstractNumId w:val="2"/>
  </w:num>
  <w:num w:numId="12">
    <w:abstractNumId w:val="19"/>
  </w:num>
  <w:num w:numId="13">
    <w:abstractNumId w:val="12"/>
  </w:num>
  <w:num w:numId="14">
    <w:abstractNumId w:val="12"/>
  </w:num>
  <w:num w:numId="15">
    <w:abstractNumId w:val="21"/>
  </w:num>
  <w:num w:numId="16">
    <w:abstractNumId w:val="10"/>
  </w:num>
  <w:num w:numId="17">
    <w:abstractNumId w:val="4"/>
  </w:num>
  <w:num w:numId="18">
    <w:abstractNumId w:val="20"/>
  </w:num>
  <w:num w:numId="19">
    <w:abstractNumId w:val="18"/>
  </w:num>
  <w:num w:numId="20">
    <w:abstractNumId w:val="22"/>
  </w:num>
  <w:num w:numId="21">
    <w:abstractNumId w:val="8"/>
  </w:num>
  <w:num w:numId="22">
    <w:abstractNumId w:val="16"/>
  </w:num>
  <w:num w:numId="23">
    <w:abstractNumId w:val="15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CDB"/>
    <w:rsid w:val="00024ECD"/>
    <w:rsid w:val="00027FA1"/>
    <w:rsid w:val="00043BBC"/>
    <w:rsid w:val="00051535"/>
    <w:rsid w:val="00051BFE"/>
    <w:rsid w:val="00053F74"/>
    <w:rsid w:val="00055CF3"/>
    <w:rsid w:val="00064238"/>
    <w:rsid w:val="00065540"/>
    <w:rsid w:val="00070A7E"/>
    <w:rsid w:val="00075F41"/>
    <w:rsid w:val="00077592"/>
    <w:rsid w:val="0009784E"/>
    <w:rsid w:val="000A713A"/>
    <w:rsid w:val="000B0FC1"/>
    <w:rsid w:val="000B3264"/>
    <w:rsid w:val="000B78A5"/>
    <w:rsid w:val="000C1789"/>
    <w:rsid w:val="000D4B74"/>
    <w:rsid w:val="000E0169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A53A5"/>
    <w:rsid w:val="001A5909"/>
    <w:rsid w:val="001B0DE1"/>
    <w:rsid w:val="001B4B19"/>
    <w:rsid w:val="001B5FB1"/>
    <w:rsid w:val="001B650B"/>
    <w:rsid w:val="001C6705"/>
    <w:rsid w:val="001D128E"/>
    <w:rsid w:val="001E3894"/>
    <w:rsid w:val="001F0E65"/>
    <w:rsid w:val="001F3184"/>
    <w:rsid w:val="001F3BCA"/>
    <w:rsid w:val="001F52BA"/>
    <w:rsid w:val="001F5EA2"/>
    <w:rsid w:val="0020722E"/>
    <w:rsid w:val="00207520"/>
    <w:rsid w:val="00210321"/>
    <w:rsid w:val="002224D8"/>
    <w:rsid w:val="0022746B"/>
    <w:rsid w:val="00230BC9"/>
    <w:rsid w:val="00243515"/>
    <w:rsid w:val="002450D3"/>
    <w:rsid w:val="00251504"/>
    <w:rsid w:val="00253CEA"/>
    <w:rsid w:val="00266C66"/>
    <w:rsid w:val="00267C89"/>
    <w:rsid w:val="00275AEF"/>
    <w:rsid w:val="00280B0C"/>
    <w:rsid w:val="00281CC3"/>
    <w:rsid w:val="00284D1E"/>
    <w:rsid w:val="002909E5"/>
    <w:rsid w:val="002D3B8E"/>
    <w:rsid w:val="002D4A46"/>
    <w:rsid w:val="002D4F83"/>
    <w:rsid w:val="002D6392"/>
    <w:rsid w:val="002E096E"/>
    <w:rsid w:val="002E20A5"/>
    <w:rsid w:val="002E4C5F"/>
    <w:rsid w:val="002F131B"/>
    <w:rsid w:val="002F132F"/>
    <w:rsid w:val="00300244"/>
    <w:rsid w:val="00300E37"/>
    <w:rsid w:val="003027AC"/>
    <w:rsid w:val="00304F88"/>
    <w:rsid w:val="0030660D"/>
    <w:rsid w:val="00307408"/>
    <w:rsid w:val="00322AC6"/>
    <w:rsid w:val="00324962"/>
    <w:rsid w:val="00325103"/>
    <w:rsid w:val="0032537C"/>
    <w:rsid w:val="00325D89"/>
    <w:rsid w:val="00327786"/>
    <w:rsid w:val="00333589"/>
    <w:rsid w:val="003457CE"/>
    <w:rsid w:val="003548CD"/>
    <w:rsid w:val="003565EE"/>
    <w:rsid w:val="00362545"/>
    <w:rsid w:val="00365535"/>
    <w:rsid w:val="0036747B"/>
    <w:rsid w:val="003856CB"/>
    <w:rsid w:val="00386E61"/>
    <w:rsid w:val="00391009"/>
    <w:rsid w:val="003940D8"/>
    <w:rsid w:val="00394807"/>
    <w:rsid w:val="003A267D"/>
    <w:rsid w:val="003A6C05"/>
    <w:rsid w:val="003B0250"/>
    <w:rsid w:val="003B6154"/>
    <w:rsid w:val="003C0896"/>
    <w:rsid w:val="003C2606"/>
    <w:rsid w:val="003E1BF0"/>
    <w:rsid w:val="003E6F0A"/>
    <w:rsid w:val="0040099E"/>
    <w:rsid w:val="004032AF"/>
    <w:rsid w:val="00425F2C"/>
    <w:rsid w:val="00431235"/>
    <w:rsid w:val="00433015"/>
    <w:rsid w:val="004528EE"/>
    <w:rsid w:val="00461CA4"/>
    <w:rsid w:val="00465581"/>
    <w:rsid w:val="0046772F"/>
    <w:rsid w:val="00472179"/>
    <w:rsid w:val="004740DE"/>
    <w:rsid w:val="00481E45"/>
    <w:rsid w:val="0048684C"/>
    <w:rsid w:val="0048776E"/>
    <w:rsid w:val="00490C1D"/>
    <w:rsid w:val="00490CE1"/>
    <w:rsid w:val="004921AE"/>
    <w:rsid w:val="00492E78"/>
    <w:rsid w:val="004A548F"/>
    <w:rsid w:val="004B0F54"/>
    <w:rsid w:val="004B1D3E"/>
    <w:rsid w:val="004B5918"/>
    <w:rsid w:val="004B6705"/>
    <w:rsid w:val="004D0C08"/>
    <w:rsid w:val="004E111A"/>
    <w:rsid w:val="004F30F4"/>
    <w:rsid w:val="0050250A"/>
    <w:rsid w:val="00505815"/>
    <w:rsid w:val="005076D1"/>
    <w:rsid w:val="005079AD"/>
    <w:rsid w:val="00513305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780B"/>
    <w:rsid w:val="005C454E"/>
    <w:rsid w:val="005C6821"/>
    <w:rsid w:val="005D03DE"/>
    <w:rsid w:val="005F0309"/>
    <w:rsid w:val="005F0DD1"/>
    <w:rsid w:val="005F68CD"/>
    <w:rsid w:val="0060307E"/>
    <w:rsid w:val="00642EF2"/>
    <w:rsid w:val="0065253E"/>
    <w:rsid w:val="00653DC0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1CC9"/>
    <w:rsid w:val="006E3D15"/>
    <w:rsid w:val="006F7303"/>
    <w:rsid w:val="00701D68"/>
    <w:rsid w:val="007061FB"/>
    <w:rsid w:val="007213F1"/>
    <w:rsid w:val="007216D9"/>
    <w:rsid w:val="0074476C"/>
    <w:rsid w:val="007448E8"/>
    <w:rsid w:val="00747B8E"/>
    <w:rsid w:val="00761926"/>
    <w:rsid w:val="007661B4"/>
    <w:rsid w:val="00766A72"/>
    <w:rsid w:val="00772E37"/>
    <w:rsid w:val="007772DE"/>
    <w:rsid w:val="00780DA0"/>
    <w:rsid w:val="00787154"/>
    <w:rsid w:val="007A62F4"/>
    <w:rsid w:val="007D01AE"/>
    <w:rsid w:val="007D254B"/>
    <w:rsid w:val="007D43AF"/>
    <w:rsid w:val="007D5B83"/>
    <w:rsid w:val="007F05A3"/>
    <w:rsid w:val="007F267C"/>
    <w:rsid w:val="007F3047"/>
    <w:rsid w:val="007F57C0"/>
    <w:rsid w:val="00801181"/>
    <w:rsid w:val="0080725A"/>
    <w:rsid w:val="0081537B"/>
    <w:rsid w:val="00825867"/>
    <w:rsid w:val="00833023"/>
    <w:rsid w:val="0083663A"/>
    <w:rsid w:val="008459CB"/>
    <w:rsid w:val="00851DB8"/>
    <w:rsid w:val="00851FF4"/>
    <w:rsid w:val="00855733"/>
    <w:rsid w:val="00883ADC"/>
    <w:rsid w:val="0088647A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3D9F"/>
    <w:rsid w:val="00914E7F"/>
    <w:rsid w:val="0092085C"/>
    <w:rsid w:val="00924DF8"/>
    <w:rsid w:val="00932A7B"/>
    <w:rsid w:val="009508D8"/>
    <w:rsid w:val="00957FA0"/>
    <w:rsid w:val="00961C24"/>
    <w:rsid w:val="009640C9"/>
    <w:rsid w:val="00964BFE"/>
    <w:rsid w:val="009650A9"/>
    <w:rsid w:val="00972428"/>
    <w:rsid w:val="009918FD"/>
    <w:rsid w:val="0099759B"/>
    <w:rsid w:val="009A38C0"/>
    <w:rsid w:val="009A7BDC"/>
    <w:rsid w:val="009C6818"/>
    <w:rsid w:val="009C6C07"/>
    <w:rsid w:val="009D07AE"/>
    <w:rsid w:val="009E3B59"/>
    <w:rsid w:val="009F0994"/>
    <w:rsid w:val="009F1EF1"/>
    <w:rsid w:val="009F5717"/>
    <w:rsid w:val="009F5E3C"/>
    <w:rsid w:val="00A007A7"/>
    <w:rsid w:val="00A06CEA"/>
    <w:rsid w:val="00A30801"/>
    <w:rsid w:val="00A40804"/>
    <w:rsid w:val="00A4361C"/>
    <w:rsid w:val="00A45D38"/>
    <w:rsid w:val="00A5530C"/>
    <w:rsid w:val="00A57DA9"/>
    <w:rsid w:val="00A609B4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E3888"/>
    <w:rsid w:val="00AE582B"/>
    <w:rsid w:val="00AF0A86"/>
    <w:rsid w:val="00AF5687"/>
    <w:rsid w:val="00B040DA"/>
    <w:rsid w:val="00B16DFE"/>
    <w:rsid w:val="00B1776F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93F40"/>
    <w:rsid w:val="00BB3F82"/>
    <w:rsid w:val="00BC1D67"/>
    <w:rsid w:val="00BC7DBE"/>
    <w:rsid w:val="00BD16B0"/>
    <w:rsid w:val="00BD7920"/>
    <w:rsid w:val="00BE2C65"/>
    <w:rsid w:val="00BE486C"/>
    <w:rsid w:val="00C01B7D"/>
    <w:rsid w:val="00C16BC8"/>
    <w:rsid w:val="00C17BCB"/>
    <w:rsid w:val="00C20C5A"/>
    <w:rsid w:val="00C25DDB"/>
    <w:rsid w:val="00C319E9"/>
    <w:rsid w:val="00C374D1"/>
    <w:rsid w:val="00C3788A"/>
    <w:rsid w:val="00C416FF"/>
    <w:rsid w:val="00C54270"/>
    <w:rsid w:val="00C56BE5"/>
    <w:rsid w:val="00C65ECC"/>
    <w:rsid w:val="00C72470"/>
    <w:rsid w:val="00C738B0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7F28"/>
    <w:rsid w:val="00CE2991"/>
    <w:rsid w:val="00CE4F12"/>
    <w:rsid w:val="00CE7DD4"/>
    <w:rsid w:val="00CF3FA7"/>
    <w:rsid w:val="00D03FF4"/>
    <w:rsid w:val="00D04A79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76DEC"/>
    <w:rsid w:val="00DA3E38"/>
    <w:rsid w:val="00DA4AD1"/>
    <w:rsid w:val="00DA5651"/>
    <w:rsid w:val="00DA6165"/>
    <w:rsid w:val="00DB0958"/>
    <w:rsid w:val="00DB48E6"/>
    <w:rsid w:val="00DB51A1"/>
    <w:rsid w:val="00DB70C6"/>
    <w:rsid w:val="00DC74B6"/>
    <w:rsid w:val="00DD0D13"/>
    <w:rsid w:val="00DD28DD"/>
    <w:rsid w:val="00DD2FA9"/>
    <w:rsid w:val="00DD4B05"/>
    <w:rsid w:val="00DD5C9B"/>
    <w:rsid w:val="00DE04BE"/>
    <w:rsid w:val="00DE546D"/>
    <w:rsid w:val="00DF3D2A"/>
    <w:rsid w:val="00DF3F65"/>
    <w:rsid w:val="00E03699"/>
    <w:rsid w:val="00E25836"/>
    <w:rsid w:val="00E2722D"/>
    <w:rsid w:val="00E34C37"/>
    <w:rsid w:val="00E34D3E"/>
    <w:rsid w:val="00E42218"/>
    <w:rsid w:val="00E47DFF"/>
    <w:rsid w:val="00E634F1"/>
    <w:rsid w:val="00E63A7A"/>
    <w:rsid w:val="00E65468"/>
    <w:rsid w:val="00E71450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5DC9"/>
    <w:rsid w:val="00EC63E4"/>
    <w:rsid w:val="00EC7741"/>
    <w:rsid w:val="00ED1AC6"/>
    <w:rsid w:val="00ED6C3C"/>
    <w:rsid w:val="00ED7C08"/>
    <w:rsid w:val="00EE4633"/>
    <w:rsid w:val="00F01C4F"/>
    <w:rsid w:val="00F1356C"/>
    <w:rsid w:val="00F17754"/>
    <w:rsid w:val="00F20ECE"/>
    <w:rsid w:val="00F22330"/>
    <w:rsid w:val="00F270CE"/>
    <w:rsid w:val="00F31A0F"/>
    <w:rsid w:val="00F32670"/>
    <w:rsid w:val="00F33BD5"/>
    <w:rsid w:val="00F45242"/>
    <w:rsid w:val="00F610FC"/>
    <w:rsid w:val="00F74BEB"/>
    <w:rsid w:val="00F8003D"/>
    <w:rsid w:val="00F86B72"/>
    <w:rsid w:val="00F87482"/>
    <w:rsid w:val="00F876C3"/>
    <w:rsid w:val="00FA115A"/>
    <w:rsid w:val="00FA274A"/>
    <w:rsid w:val="00FC1733"/>
    <w:rsid w:val="00FC37D2"/>
    <w:rsid w:val="00FC5911"/>
    <w:rsid w:val="00FD2E31"/>
    <w:rsid w:val="00FD3695"/>
    <w:rsid w:val="00FD36E0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886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869F-40F3-4347-B4E4-80AE875F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1075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38</cp:revision>
  <dcterms:created xsi:type="dcterms:W3CDTF">2025-08-14T19:20:00Z</dcterms:created>
  <dcterms:modified xsi:type="dcterms:W3CDTF">2025-09-17T23:07:00Z</dcterms:modified>
</cp:coreProperties>
</file>