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C0" w:rsidRDefault="005150BD" w:rsidP="00E446EB">
      <w:pP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5150BD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Atenas, Olimpia, Delfos, </w:t>
      </w:r>
      <w:proofErr w:type="spellStart"/>
      <w:r w:rsidRPr="005150BD">
        <w:rPr>
          <w:rStyle w:val="Ttulo-visitaras"/>
          <w:rFonts w:cs="Times New Roman"/>
          <w:color w:val="FF0000"/>
          <w:sz w:val="32"/>
          <w:szCs w:val="32"/>
          <w:lang w:eastAsia="fr-FR"/>
        </w:rPr>
        <w:t>Meteora</w:t>
      </w:r>
      <w:proofErr w:type="spellEnd"/>
      <w:r w:rsidRPr="005150BD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Atenas, </w:t>
      </w:r>
      <w:proofErr w:type="spellStart"/>
      <w:r w:rsidRPr="005150BD">
        <w:rPr>
          <w:rStyle w:val="Ttulo-visitaras"/>
          <w:rFonts w:cs="Times New Roman"/>
          <w:color w:val="FF0000"/>
          <w:sz w:val="32"/>
          <w:szCs w:val="32"/>
          <w:lang w:eastAsia="fr-FR"/>
        </w:rPr>
        <w:t>Mykonos</w:t>
      </w:r>
      <w:proofErr w:type="spellEnd"/>
      <w:r w:rsidRPr="005150BD">
        <w:rPr>
          <w:rStyle w:val="Ttulo-visitaras"/>
          <w:rFonts w:cs="Times New Roman"/>
          <w:color w:val="FF0000"/>
          <w:sz w:val="32"/>
          <w:szCs w:val="32"/>
          <w:lang w:eastAsia="fr-FR"/>
        </w:rPr>
        <w:t>, Patmos, Rodas, Creta, Santorini</w:t>
      </w:r>
    </w:p>
    <w:p w:rsidR="005150BD" w:rsidRDefault="005150BD" w:rsidP="00E446EB">
      <w:pPr>
        <w:spacing w:after="0" w:line="240" w:lineRule="auto"/>
        <w:jc w:val="center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:rsidR="00C8584E" w:rsidRPr="00C8584E" w:rsidRDefault="00C8584E" w:rsidP="00C8584E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uración: 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5150B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1</w:t>
      </w:r>
      <w:r w:rsidR="00D6066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Pr="00C8584E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días </w:t>
      </w:r>
    </w:p>
    <w:p w:rsidR="005150BD" w:rsidRPr="005150BD" w:rsidRDefault="005150BD" w:rsidP="005150BD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  <w:r w:rsidRPr="005150B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Llegadas: martes del </w:t>
      </w:r>
      <w:r w:rsidR="00E877E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  <w:r w:rsidRPr="005150B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de abril al 2</w:t>
      </w:r>
      <w:r w:rsidR="00E877E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7</w:t>
      </w:r>
      <w:r w:rsidRPr="005150B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de octubre 202</w:t>
      </w:r>
      <w:r w:rsidR="00E877E0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6</w:t>
      </w:r>
      <w:r w:rsidRPr="005150B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</w:p>
    <w:p w:rsidR="007131C0" w:rsidRDefault="005150BD" w:rsidP="005150B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50BD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servicios compartidos</w:t>
      </w:r>
    </w:p>
    <w:p w:rsidR="007131C0" w:rsidRDefault="007131C0" w:rsidP="007131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131C0">
        <w:rPr>
          <w:rFonts w:eastAsia="Arial"/>
          <w:sz w:val="24"/>
          <w:szCs w:val="24"/>
        </w:rPr>
        <w:t>Atenas</w:t>
      </w:r>
    </w:p>
    <w:p w:rsidR="007131C0" w:rsidRDefault="005150BD" w:rsidP="00F70745">
      <w:pPr>
        <w:pStyle w:val="Destinos"/>
        <w:rPr>
          <w:b w:val="0"/>
          <w:smallCaps w:val="0"/>
          <w:color w:val="002060"/>
          <w:sz w:val="20"/>
          <w:szCs w:val="22"/>
        </w:rPr>
      </w:pPr>
      <w:r w:rsidRPr="005150BD">
        <w:rPr>
          <w:b w:val="0"/>
          <w:smallCaps w:val="0"/>
          <w:color w:val="002060"/>
          <w:sz w:val="20"/>
          <w:szCs w:val="22"/>
        </w:rPr>
        <w:t>Llegada al aeropuerto, asistencia y traslado al hotel. Alojamiento</w:t>
      </w:r>
    </w:p>
    <w:p w:rsidR="005150BD" w:rsidRPr="002716DA" w:rsidRDefault="005150BD" w:rsidP="00F70745">
      <w:pPr>
        <w:pStyle w:val="Destinos"/>
      </w:pPr>
    </w:p>
    <w:p w:rsidR="00F70745" w:rsidRDefault="00A109A1" w:rsidP="00F70745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5150BD">
        <w:rPr>
          <w:rFonts w:eastAsia="Arial"/>
          <w:sz w:val="24"/>
          <w:szCs w:val="24"/>
        </w:rPr>
        <w:t>Olimpia</w:t>
      </w:r>
    </w:p>
    <w:p w:rsidR="007131C0" w:rsidRPr="007131C0" w:rsidRDefault="005150BD" w:rsidP="005150BD">
      <w:pPr>
        <w:jc w:val="both"/>
        <w:rPr>
          <w:rFonts w:eastAsia="Arial"/>
        </w:rPr>
      </w:pPr>
      <w:r w:rsidRPr="005150BD">
        <w:rPr>
          <w:rFonts w:asciiTheme="minorHAnsi" w:eastAsia="Arial" w:hAnsiTheme="minorHAnsi" w:cstheme="minorHAnsi"/>
          <w:color w:val="002060"/>
          <w:sz w:val="20"/>
        </w:rPr>
        <w:t xml:space="preserve">Breve parada en el Canal de Corinto, Micenas, Teatro de </w:t>
      </w:r>
      <w:proofErr w:type="spellStart"/>
      <w:r w:rsidRPr="005150BD">
        <w:rPr>
          <w:rFonts w:asciiTheme="minorHAnsi" w:eastAsia="Arial" w:hAnsiTheme="minorHAnsi" w:cstheme="minorHAnsi"/>
          <w:color w:val="002060"/>
          <w:sz w:val="20"/>
        </w:rPr>
        <w:t>Epidavros</w:t>
      </w:r>
      <w:proofErr w:type="spellEnd"/>
      <w:r w:rsidRPr="005150BD">
        <w:rPr>
          <w:rFonts w:asciiTheme="minorHAnsi" w:eastAsia="Arial" w:hAnsiTheme="minorHAnsi" w:cstheme="minorHAnsi"/>
          <w:color w:val="002060"/>
          <w:sz w:val="20"/>
        </w:rPr>
        <w:t>, Olimpia. Cena y alojamiento en Olimpia.</w:t>
      </w:r>
    </w:p>
    <w:p w:rsidR="007131C0" w:rsidRDefault="00A109A1" w:rsidP="007131C0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E01424">
        <w:rPr>
          <w:rStyle w:val="DanmeroCar"/>
          <w:rFonts w:cs="Times New Roman"/>
          <w:b/>
          <w:sz w:val="24"/>
          <w:szCs w:val="24"/>
        </w:rPr>
        <w:t>3</w:t>
      </w:r>
      <w:r w:rsidR="005A1149">
        <w:rPr>
          <w:rStyle w:val="DanmeroCar"/>
          <w:rFonts w:cs="Times New Roman"/>
          <w:b/>
          <w:sz w:val="24"/>
          <w:szCs w:val="24"/>
        </w:rPr>
        <w:t xml:space="preserve"> 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5150BD">
        <w:rPr>
          <w:rStyle w:val="DestinosCar"/>
          <w:rFonts w:cs="Times New Roman"/>
          <w:b/>
          <w:smallCaps w:val="0"/>
          <w:sz w:val="24"/>
          <w:szCs w:val="24"/>
        </w:rPr>
        <w:t xml:space="preserve">Olimpia – Delfos. </w:t>
      </w:r>
      <w:r w:rsidR="007131C0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5150BD" w:rsidRPr="005150BD" w:rsidRDefault="005150BD" w:rsidP="005150BD">
      <w:p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150BD">
        <w:rPr>
          <w:rFonts w:asciiTheme="minorHAnsi" w:eastAsia="Arial" w:hAnsiTheme="minorHAnsi" w:cstheme="minorHAnsi"/>
          <w:color w:val="002060"/>
          <w:sz w:val="20"/>
        </w:rPr>
        <w:t xml:space="preserve">Desayuno y visita del antiguo Estadio </w:t>
      </w:r>
      <w:proofErr w:type="spellStart"/>
      <w:r w:rsidRPr="005150BD">
        <w:rPr>
          <w:rFonts w:asciiTheme="minorHAnsi" w:eastAsia="Arial" w:hAnsiTheme="minorHAnsi" w:cstheme="minorHAnsi"/>
          <w:color w:val="002060"/>
          <w:sz w:val="20"/>
        </w:rPr>
        <w:t>Olimpico</w:t>
      </w:r>
      <w:proofErr w:type="spellEnd"/>
      <w:r w:rsidRPr="005150BD">
        <w:rPr>
          <w:rFonts w:asciiTheme="minorHAnsi" w:eastAsia="Arial" w:hAnsiTheme="minorHAnsi" w:cstheme="minorHAnsi"/>
          <w:color w:val="002060"/>
          <w:sz w:val="20"/>
        </w:rPr>
        <w:t xml:space="preserve"> y del Museo. Salida hacia Delfos y llegada al hotel. Cena y alojamiento en Delfos</w:t>
      </w:r>
    </w:p>
    <w:p w:rsidR="005A1149" w:rsidRDefault="00A109A1" w:rsidP="005A1149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41283">
        <w:rPr>
          <w:rStyle w:val="DestinosCar"/>
          <w:rFonts w:cs="Times New Roman"/>
          <w:b/>
          <w:smallCaps w:val="0"/>
          <w:sz w:val="24"/>
          <w:szCs w:val="24"/>
        </w:rPr>
        <w:t xml:space="preserve">Delfos – </w:t>
      </w:r>
      <w:proofErr w:type="spellStart"/>
      <w:r w:rsidR="00241283">
        <w:rPr>
          <w:rStyle w:val="DestinosCar"/>
          <w:rFonts w:cs="Times New Roman"/>
          <w:b/>
          <w:smallCaps w:val="0"/>
          <w:sz w:val="24"/>
          <w:szCs w:val="24"/>
        </w:rPr>
        <w:t>Meteora</w:t>
      </w:r>
      <w:proofErr w:type="spellEnd"/>
      <w:r w:rsidR="0024128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:rsidR="00241283" w:rsidRDefault="00241283" w:rsidP="00241283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  <w:r w:rsidRPr="00241283">
        <w:rPr>
          <w:rFonts w:asciiTheme="minorHAnsi" w:eastAsia="Arial" w:hAnsiTheme="minorHAnsi" w:cstheme="minorHAnsi"/>
          <w:bCs/>
          <w:color w:val="002060"/>
          <w:sz w:val="20"/>
        </w:rPr>
        <w:t xml:space="preserve">Desayuno y visita de Delfos, ciudad conocida como el ‘Centro del Mundo’, visitaremos el Museo arqueológico de Delfos y el recinto arqueológico. Salida hacia </w:t>
      </w:r>
      <w:proofErr w:type="spellStart"/>
      <w:r w:rsidRPr="00241283">
        <w:rPr>
          <w:rFonts w:asciiTheme="minorHAnsi" w:eastAsia="Arial" w:hAnsiTheme="minorHAnsi" w:cstheme="minorHAnsi"/>
          <w:bCs/>
          <w:color w:val="002060"/>
          <w:sz w:val="20"/>
        </w:rPr>
        <w:t>Kalambaka</w:t>
      </w:r>
      <w:proofErr w:type="spellEnd"/>
      <w:r w:rsidRPr="00241283">
        <w:rPr>
          <w:rFonts w:asciiTheme="minorHAnsi" w:eastAsia="Arial" w:hAnsiTheme="minorHAnsi" w:cstheme="minorHAnsi"/>
          <w:bCs/>
          <w:color w:val="002060"/>
          <w:sz w:val="20"/>
        </w:rPr>
        <w:t xml:space="preserve">. Llegada, cena y alojamiento en </w:t>
      </w:r>
      <w:proofErr w:type="spellStart"/>
      <w:r w:rsidRPr="00241283">
        <w:rPr>
          <w:rFonts w:asciiTheme="minorHAnsi" w:eastAsia="Arial" w:hAnsiTheme="minorHAnsi" w:cstheme="minorHAnsi"/>
          <w:bCs/>
          <w:color w:val="002060"/>
          <w:sz w:val="20"/>
        </w:rPr>
        <w:t>Kalambaka</w:t>
      </w:r>
      <w:proofErr w:type="spellEnd"/>
      <w:r w:rsidRPr="00241283">
        <w:rPr>
          <w:rFonts w:asciiTheme="minorHAnsi" w:eastAsia="Arial" w:hAnsiTheme="minorHAnsi" w:cstheme="minorHAnsi"/>
          <w:bCs/>
          <w:color w:val="002060"/>
          <w:sz w:val="20"/>
        </w:rPr>
        <w:t>.</w:t>
      </w:r>
    </w:p>
    <w:p w:rsidR="00241283" w:rsidRPr="00F70745" w:rsidRDefault="00241283" w:rsidP="00A7248E">
      <w:pPr>
        <w:spacing w:after="0"/>
        <w:jc w:val="both"/>
        <w:rPr>
          <w:rFonts w:asciiTheme="minorHAnsi" w:eastAsia="Arial" w:hAnsiTheme="minorHAnsi" w:cstheme="minorHAnsi"/>
          <w:bCs/>
          <w:color w:val="002060"/>
          <w:sz w:val="20"/>
        </w:rPr>
      </w:pPr>
    </w:p>
    <w:p w:rsidR="00F70745" w:rsidRDefault="00A109A1" w:rsidP="00F7074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186469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="008E0017">
        <w:rPr>
          <w:rStyle w:val="DanmeroCar"/>
          <w:rFonts w:cs="Times New Roman"/>
          <w:b/>
          <w:sz w:val="24"/>
          <w:szCs w:val="24"/>
        </w:rPr>
        <w:t xml:space="preserve"> </w:t>
      </w:r>
      <w:proofErr w:type="spellStart"/>
      <w:r w:rsidR="00241283">
        <w:rPr>
          <w:rStyle w:val="DestinosCar"/>
          <w:rFonts w:cs="Times New Roman"/>
          <w:b/>
          <w:smallCaps w:val="0"/>
          <w:sz w:val="24"/>
          <w:szCs w:val="24"/>
        </w:rPr>
        <w:t>Meteora</w:t>
      </w:r>
      <w:proofErr w:type="spellEnd"/>
      <w:r w:rsidR="00241283">
        <w:rPr>
          <w:rStyle w:val="DestinosCar"/>
          <w:rFonts w:cs="Times New Roman"/>
          <w:b/>
          <w:smallCaps w:val="0"/>
          <w:sz w:val="24"/>
          <w:szCs w:val="24"/>
        </w:rPr>
        <w:t xml:space="preserve"> – Atenas </w:t>
      </w:r>
    </w:p>
    <w:p w:rsidR="00241283" w:rsidRDefault="00241283" w:rsidP="00241283">
      <w:pPr>
        <w:pStyle w:val="Ttulo3"/>
        <w:spacing w:before="0" w:after="0" w:line="240" w:lineRule="auto"/>
        <w:jc w:val="both"/>
        <w:rPr>
          <w:rFonts w:eastAsia="Arial" w:cstheme="minorHAnsi"/>
          <w:b w:val="0"/>
          <w:sz w:val="20"/>
          <w:szCs w:val="20"/>
        </w:rPr>
      </w:pPr>
      <w:r w:rsidRPr="00241283">
        <w:rPr>
          <w:rFonts w:eastAsia="Arial" w:cstheme="minorHAnsi"/>
          <w:b w:val="0"/>
          <w:sz w:val="20"/>
          <w:szCs w:val="20"/>
        </w:rPr>
        <w:t xml:space="preserve">Salida hacia </w:t>
      </w:r>
      <w:proofErr w:type="spellStart"/>
      <w:r w:rsidRPr="00241283">
        <w:rPr>
          <w:rFonts w:eastAsia="Arial" w:cstheme="minorHAnsi"/>
          <w:b w:val="0"/>
          <w:sz w:val="20"/>
          <w:szCs w:val="20"/>
        </w:rPr>
        <w:t>Meteora</w:t>
      </w:r>
      <w:proofErr w:type="spellEnd"/>
      <w:r w:rsidRPr="00241283">
        <w:rPr>
          <w:rFonts w:eastAsia="Arial" w:cstheme="minorHAnsi"/>
          <w:b w:val="0"/>
          <w:sz w:val="20"/>
          <w:szCs w:val="20"/>
        </w:rPr>
        <w:t xml:space="preserve"> con los monasterios emplazados sobre las rocas, es algo que no se les olvidara jamás. Saliendo pasaremos por Termopilas. Regreso al hotel de Atenas alrededor de las 18:00. Alojamiento en Atenas.</w:t>
      </w:r>
    </w:p>
    <w:p w:rsidR="00241283" w:rsidRDefault="00241283" w:rsidP="0020594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30077C" w:rsidRDefault="00A109A1" w:rsidP="0020594A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186469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41283">
        <w:rPr>
          <w:rStyle w:val="DestinosCar"/>
          <w:rFonts w:cs="Times New Roman"/>
          <w:b/>
          <w:smallCaps w:val="0"/>
          <w:sz w:val="24"/>
          <w:szCs w:val="24"/>
        </w:rPr>
        <w:t>Atenas</w:t>
      </w:r>
    </w:p>
    <w:p w:rsidR="007131C0" w:rsidRDefault="00241283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Desayuno. Salida para realizar la visita de la ciudad de Atenas. Tarde libre. Alojamiento.</w:t>
      </w:r>
    </w:p>
    <w:p w:rsidR="00241283" w:rsidRDefault="00241283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BD0EA5">
        <w:rPr>
          <w:rFonts w:eastAsia="Arial"/>
          <w:sz w:val="24"/>
          <w:szCs w:val="24"/>
        </w:rPr>
        <w:t xml:space="preserve">| </w:t>
      </w:r>
      <w:r w:rsidR="00241283">
        <w:rPr>
          <w:rStyle w:val="DestinosCar"/>
          <w:rFonts w:cs="Times New Roman"/>
          <w:b/>
          <w:smallCaps w:val="0"/>
          <w:sz w:val="24"/>
          <w:szCs w:val="24"/>
        </w:rPr>
        <w:t xml:space="preserve">Atenas - </w:t>
      </w:r>
      <w:proofErr w:type="spellStart"/>
      <w:r w:rsidR="00241283">
        <w:rPr>
          <w:rStyle w:val="DestinosCar"/>
          <w:rFonts w:cs="Times New Roman"/>
          <w:b/>
          <w:smallCaps w:val="0"/>
          <w:sz w:val="24"/>
          <w:szCs w:val="24"/>
        </w:rPr>
        <w:t>Mykonos</w:t>
      </w:r>
      <w:proofErr w:type="spellEnd"/>
    </w:p>
    <w:p w:rsidR="007131C0" w:rsidRDefault="00241283" w:rsidP="00241283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de 4 noches /5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dias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Mykonos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Salida hacia el Puerto de </w:t>
      </w:r>
      <w:proofErr w:type="spellStart"/>
      <w:proofErr w:type="gram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Lavrio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y</w:t>
      </w:r>
      <w:proofErr w:type="gram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embarque al crucero. Llegada a la isla de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Mykonos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desembarque, tiempo libre en </w:t>
      </w:r>
      <w:proofErr w:type="gram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la  isla</w:t>
      </w:r>
      <w:proofErr w:type="gram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a la hora indicada, hacia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Kusadasi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Turquia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).</w:t>
      </w:r>
    </w:p>
    <w:p w:rsidR="00241283" w:rsidRDefault="00241283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8</w:t>
      </w:r>
      <w:r w:rsidRPr="00BD0EA5">
        <w:rPr>
          <w:rFonts w:eastAsia="Arial"/>
          <w:sz w:val="24"/>
          <w:szCs w:val="24"/>
        </w:rPr>
        <w:t xml:space="preserve">| </w:t>
      </w:r>
      <w:proofErr w:type="spellStart"/>
      <w:r w:rsidR="00241283">
        <w:rPr>
          <w:rStyle w:val="DestinosCar"/>
          <w:rFonts w:cs="Times New Roman"/>
          <w:b/>
          <w:smallCaps w:val="0"/>
          <w:sz w:val="24"/>
          <w:szCs w:val="24"/>
        </w:rPr>
        <w:t>Kusadasi</w:t>
      </w:r>
      <w:proofErr w:type="spellEnd"/>
      <w:r w:rsidR="00241283">
        <w:rPr>
          <w:rStyle w:val="DestinosCar"/>
          <w:rFonts w:cs="Times New Roman"/>
          <w:b/>
          <w:smallCaps w:val="0"/>
          <w:sz w:val="24"/>
          <w:szCs w:val="24"/>
        </w:rPr>
        <w:t xml:space="preserve"> – Patmos </w:t>
      </w:r>
    </w:p>
    <w:p w:rsidR="007131C0" w:rsidRDefault="00241283" w:rsidP="00241283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Kusadasi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. Desembarque. Embarque a la hora indicada, para salir hacia la isla de Patmos. Llegada a Patmos, desembarque y tiempo libre. Embarque a la hora indicada por el barco para salir hacia Rodas.</w:t>
      </w:r>
    </w:p>
    <w:p w:rsidR="00241283" w:rsidRDefault="00241283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9</w:t>
      </w:r>
      <w:r w:rsidRPr="00BD0EA5">
        <w:rPr>
          <w:rFonts w:eastAsia="Arial"/>
          <w:sz w:val="24"/>
          <w:szCs w:val="24"/>
        </w:rPr>
        <w:t xml:space="preserve">| </w:t>
      </w:r>
      <w:r w:rsidR="00241283">
        <w:rPr>
          <w:rStyle w:val="DestinosCar"/>
          <w:rFonts w:cs="Times New Roman"/>
          <w:b/>
          <w:smallCaps w:val="0"/>
          <w:sz w:val="24"/>
          <w:szCs w:val="24"/>
        </w:rPr>
        <w:t>Rodas</w:t>
      </w:r>
    </w:p>
    <w:p w:rsidR="00540477" w:rsidRDefault="00241283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Llegada a la isla de Rodas.</w:t>
      </w:r>
    </w:p>
    <w:p w:rsidR="00241283" w:rsidRDefault="00241283" w:rsidP="00F7074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:rsidR="00D6066D" w:rsidRDefault="00D6066D" w:rsidP="00D6066D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10</w:t>
      </w:r>
      <w:r w:rsidRPr="00BD0EA5">
        <w:rPr>
          <w:rFonts w:eastAsia="Arial"/>
          <w:sz w:val="24"/>
          <w:szCs w:val="24"/>
        </w:rPr>
        <w:t xml:space="preserve">| </w:t>
      </w:r>
      <w:r w:rsidR="00241283">
        <w:rPr>
          <w:rStyle w:val="DestinosCar"/>
          <w:rFonts w:cs="Times New Roman"/>
          <w:b/>
          <w:smallCaps w:val="0"/>
          <w:sz w:val="24"/>
          <w:szCs w:val="24"/>
        </w:rPr>
        <w:t xml:space="preserve">Creta – Santorini 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 la isla de Creta. Desembarque llegada a la isla de Santorini. Desembarque. Embarque a la hora informada por el barco. 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241283" w:rsidRDefault="00241283" w:rsidP="00241283">
      <w:pPr>
        <w:pStyle w:val="Ttulo3"/>
        <w:spacing w:before="0" w:after="0" w:line="240" w:lineRule="auto"/>
        <w:rPr>
          <w:rStyle w:val="DestinosCar"/>
          <w:rFonts w:cs="Times New Roman"/>
          <w:b/>
          <w:smallCaps w:val="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11</w:t>
      </w:r>
      <w:r w:rsidRPr="00BD0EA5">
        <w:rPr>
          <w:rFonts w:eastAsia="Arial"/>
          <w:sz w:val="24"/>
          <w:szCs w:val="24"/>
        </w:rPr>
        <w:t xml:space="preserve">| </w:t>
      </w:r>
      <w:r>
        <w:rPr>
          <w:rStyle w:val="DestinosCar"/>
          <w:rFonts w:cs="Times New Roman"/>
          <w:b/>
          <w:smallCaps w:val="0"/>
          <w:sz w:val="24"/>
          <w:szCs w:val="24"/>
        </w:rPr>
        <w:t>Atenas</w:t>
      </w:r>
    </w:p>
    <w:p w:rsidR="00241283" w:rsidRP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Llegada al puerto de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Lavrio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, desembarque y traslado al aeropuerto. FIN DE LOS SERVICIOS.</w:t>
      </w: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241283" w:rsidRDefault="00241283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:rsidR="00B13D81" w:rsidRPr="005D2183" w:rsidRDefault="00A455A6" w:rsidP="005D218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241283" w:rsidRPr="00241283" w:rsidRDefault="00241283" w:rsidP="002412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3 noches en Atenas en alojamiento y desayuno.</w:t>
      </w:r>
    </w:p>
    <w:p w:rsidR="00241283" w:rsidRPr="00241283" w:rsidRDefault="00241283" w:rsidP="002412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Visita de la ciudad de Atenas de medio día &amp; Museo Nuevo, en tour regular, con guía hispana y entradas incluidas.</w:t>
      </w:r>
    </w:p>
    <w:p w:rsidR="00241283" w:rsidRPr="00241283" w:rsidRDefault="00241283" w:rsidP="002412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Circuito de 4 días 3 noches en media pensión en regular con guía hispana, entradas incluidas.</w:t>
      </w:r>
    </w:p>
    <w:p w:rsidR="00241283" w:rsidRPr="00241283" w:rsidRDefault="00241283" w:rsidP="002412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Crucero 4 noches/5 días tarifa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One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Crucero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Celestyal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“Cenas a bordo, entretenimiento y actividades diarias, Bebidas no alcohólicas seleccionadas, y bebidas durante el horario de servicio de comidas, Paquete de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Wi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-Fi de nivel básico”</w:t>
      </w:r>
    </w:p>
    <w:p w:rsidR="00241283" w:rsidRPr="00241283" w:rsidRDefault="00241283" w:rsidP="00241283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Traslados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pto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/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apt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todas las </w:t>
      </w:r>
      <w:proofErr w:type="spellStart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categoríasAsistencia</w:t>
      </w:r>
      <w:proofErr w:type="spellEnd"/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viaje básica (el de llegada con asistencia)</w:t>
      </w:r>
    </w:p>
    <w:p w:rsidR="00FF05E3" w:rsidRPr="00BA37C5" w:rsidRDefault="00FF05E3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5D2183" w:rsidRPr="00F7777E" w:rsidRDefault="005D2183" w:rsidP="005D21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241283" w:rsidRPr="00241283" w:rsidRDefault="00241283" w:rsidP="00241283">
      <w:pPr>
        <w:pStyle w:val="Prrafodelista"/>
        <w:numPr>
          <w:ilvl w:val="0"/>
          <w:numId w:val="2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 de avión MEX- ATH- MEX </w:t>
      </w:r>
    </w:p>
    <w:p w:rsidR="00241283" w:rsidRPr="00241283" w:rsidRDefault="00241283" w:rsidP="00241283">
      <w:pPr>
        <w:pStyle w:val="Prrafodelista"/>
        <w:numPr>
          <w:ilvl w:val="0"/>
          <w:numId w:val="2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mencionados  </w:t>
      </w:r>
    </w:p>
    <w:p w:rsidR="00241283" w:rsidRPr="00241283" w:rsidRDefault="00241283" w:rsidP="00241283">
      <w:pPr>
        <w:pStyle w:val="Prrafodelista"/>
        <w:numPr>
          <w:ilvl w:val="0"/>
          <w:numId w:val="2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Extras y cualquier gasto personal</w:t>
      </w:r>
    </w:p>
    <w:p w:rsidR="00241283" w:rsidRPr="00241283" w:rsidRDefault="00241283" w:rsidP="00241283">
      <w:pPr>
        <w:pStyle w:val="Prrafodelista"/>
        <w:numPr>
          <w:ilvl w:val="0"/>
          <w:numId w:val="2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alojamiento pagaderas directamente a cada hotel  </w:t>
      </w:r>
    </w:p>
    <w:p w:rsidR="00241283" w:rsidRPr="00241283" w:rsidRDefault="00241283" w:rsidP="00241283">
      <w:pPr>
        <w:pStyle w:val="Prrafodelista"/>
        <w:numPr>
          <w:ilvl w:val="0"/>
          <w:numId w:val="2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Portuarias y propinas dentro del barco – USD 199 por persona </w:t>
      </w:r>
    </w:p>
    <w:p w:rsidR="00241283" w:rsidRPr="00241283" w:rsidRDefault="00241283" w:rsidP="00241283">
      <w:pPr>
        <w:pStyle w:val="Prrafodelista"/>
        <w:numPr>
          <w:ilvl w:val="0"/>
          <w:numId w:val="22"/>
        </w:num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41283">
        <w:rPr>
          <w:rFonts w:asciiTheme="minorHAnsi" w:eastAsia="Arial" w:hAnsiTheme="minorHAnsi" w:cstheme="minorHAnsi"/>
          <w:color w:val="002060"/>
          <w:sz w:val="20"/>
          <w:szCs w:val="20"/>
        </w:rPr>
        <w:t>Propinas para Chofer y guía en Atenas.</w:t>
      </w:r>
    </w:p>
    <w:p w:rsidR="00540477" w:rsidRDefault="00540477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41283" w:rsidRDefault="00241283" w:rsidP="00241283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123134">
        <w:rPr>
          <w:rFonts w:ascii="Arial" w:hAnsi="Arial" w:cs="Arial"/>
          <w:b/>
          <w:sz w:val="20"/>
          <w:szCs w:val="20"/>
        </w:rPr>
        <w:t>Notas Importantes:</w:t>
      </w:r>
    </w:p>
    <w:p w:rsidR="00241283" w:rsidRPr="00D9647B" w:rsidRDefault="00241283" w:rsidP="00241283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9647B">
        <w:rPr>
          <w:rFonts w:ascii="Arial" w:hAnsi="Arial" w:cs="Arial"/>
          <w:color w:val="333333"/>
          <w:sz w:val="20"/>
          <w:szCs w:val="20"/>
        </w:rPr>
        <w:t>El orden de las visitas puede variar de acuerdo con ciertas circunstancias y logística en el destino.</w:t>
      </w:r>
    </w:p>
    <w:p w:rsidR="00241283" w:rsidRDefault="00241283" w:rsidP="00241283">
      <w:pPr>
        <w:jc w:val="both"/>
        <w:rPr>
          <w:rFonts w:ascii="Arial" w:hAnsi="Arial" w:cs="Arial"/>
          <w:color w:val="333333"/>
          <w:sz w:val="20"/>
          <w:szCs w:val="20"/>
        </w:rPr>
      </w:pPr>
      <w:r w:rsidRPr="00D9647B">
        <w:rPr>
          <w:rFonts w:ascii="Arial" w:hAnsi="Arial" w:cs="Arial"/>
          <w:color w:val="333333"/>
          <w:sz w:val="20"/>
          <w:szCs w:val="20"/>
        </w:rPr>
        <w:t xml:space="preserve">Pueden existir suplementos en caso de que la naviera cambie el puerto de partido y/o llegada, esto se informará una vez que se realice la reserva, según la fecha de salida. </w:t>
      </w:r>
    </w:p>
    <w:p w:rsidR="00241283" w:rsidRPr="00D9647B" w:rsidRDefault="00241283" w:rsidP="00241283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54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789"/>
        <w:gridCol w:w="2028"/>
        <w:gridCol w:w="624"/>
      </w:tblGrid>
      <w:tr w:rsidR="00241283" w:rsidTr="007B19C0">
        <w:trPr>
          <w:trHeight w:val="327"/>
          <w:jc w:val="center"/>
        </w:trPr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HOTELES PREVISTOS O SIMILARES</w:t>
            </w:r>
          </w:p>
        </w:tc>
      </w:tr>
      <w:tr w:rsidR="00241283" w:rsidTr="007B19C0">
        <w:trPr>
          <w:trHeight w:val="327"/>
          <w:jc w:val="center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NOCHES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CIUDAD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HOTEL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CAT.</w:t>
            </w:r>
          </w:p>
        </w:tc>
      </w:tr>
      <w:tr w:rsidR="00241283" w:rsidTr="007B19C0">
        <w:trPr>
          <w:trHeight w:val="273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ATENAS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JASON INN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241283" w:rsidTr="007B19C0">
        <w:trPr>
          <w:trHeight w:val="273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TITANIA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241283" w:rsidTr="007B19C0">
        <w:trPr>
          <w:trHeight w:val="68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GRAND HYATT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241283" w:rsidTr="007B19C0">
        <w:trPr>
          <w:trHeight w:val="273"/>
          <w:jc w:val="center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OLYMPIA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NEDA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241283" w:rsidTr="007B19C0">
        <w:trPr>
          <w:trHeight w:val="286"/>
          <w:jc w:val="center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AMALIA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241283" w:rsidTr="007B19C0">
        <w:trPr>
          <w:trHeight w:val="121"/>
          <w:jc w:val="center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AMALIA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241283" w:rsidTr="007B19C0">
        <w:trPr>
          <w:trHeight w:val="286"/>
          <w:jc w:val="center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DELFOS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ERMIS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241283" w:rsidTr="007B19C0">
        <w:trPr>
          <w:trHeight w:val="409"/>
          <w:jc w:val="center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AMALIA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241283" w:rsidTr="007B19C0">
        <w:trPr>
          <w:trHeight w:val="192"/>
          <w:jc w:val="center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AMALIA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241283" w:rsidTr="007B19C0">
        <w:trPr>
          <w:trHeight w:val="409"/>
          <w:jc w:val="center"/>
        </w:trPr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KALAMBAKA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ORFEAS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241283" w:rsidTr="007B19C0">
        <w:trPr>
          <w:trHeight w:val="437"/>
          <w:jc w:val="center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AMALIA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241283" w:rsidTr="007B19C0">
        <w:trPr>
          <w:trHeight w:val="286"/>
          <w:jc w:val="center"/>
        </w:trPr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AMALIA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241283" w:rsidTr="007B19C0">
        <w:trPr>
          <w:trHeight w:val="501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CRUCERO POR EL EGEO- IDYLLIC (</w:t>
            </w:r>
            <w:proofErr w:type="spellStart"/>
            <w:r>
              <w:rPr>
                <w:rFonts w:ascii="Calibri" w:hAnsi="Calibri" w:cs="Calibri"/>
                <w:color w:val="000000"/>
              </w:rPr>
              <w:t>Celestyal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Cruises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IA)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</w:tr>
      <w:tr w:rsidR="00241283" w:rsidTr="007B19C0">
        <w:trPr>
          <w:trHeight w:val="32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XA)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</w:tr>
      <w:tr w:rsidR="00241283" w:rsidTr="007B19C0">
        <w:trPr>
          <w:trHeight w:val="337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(CAMAROTE - XB)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</w:tbl>
    <w:p w:rsidR="00241283" w:rsidRDefault="00241283" w:rsidP="00540477">
      <w:pPr>
        <w:tabs>
          <w:tab w:val="left" w:pos="3705"/>
        </w:tabs>
        <w:spacing w:line="240" w:lineRule="aut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1"/>
        <w:gridCol w:w="967"/>
        <w:gridCol w:w="962"/>
        <w:gridCol w:w="1339"/>
      </w:tblGrid>
      <w:tr w:rsidR="00E877E0" w:rsidRPr="00E877E0" w:rsidTr="00E877E0">
        <w:trPr>
          <w:trHeight w:val="425"/>
          <w:jc w:val="center"/>
        </w:trPr>
        <w:tc>
          <w:tcPr>
            <w:tcW w:w="7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vAlign w:val="bottom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bidi="ar-SA"/>
              </w:rPr>
              <w:t>TARIFA EN USD, POR PERSONA</w:t>
            </w:r>
          </w:p>
        </w:tc>
      </w:tr>
      <w:tr w:rsidR="00E877E0" w:rsidRPr="00E877E0" w:rsidTr="00E877E0">
        <w:trPr>
          <w:trHeight w:val="425"/>
          <w:jc w:val="center"/>
        </w:trPr>
        <w:tc>
          <w:tcPr>
            <w:tcW w:w="7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F5496" w:fill="2F5496"/>
            <w:noWrap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SERVICIOS TERRESTRES EXCLUSIVAMENTE (MINIMO 2 PASAJEROS) </w:t>
            </w:r>
          </w:p>
        </w:tc>
      </w:tr>
      <w:tr w:rsidR="00E877E0" w:rsidRPr="00E877E0" w:rsidTr="00E877E0">
        <w:trPr>
          <w:trHeight w:val="398"/>
          <w:jc w:val="center"/>
        </w:trPr>
        <w:tc>
          <w:tcPr>
            <w:tcW w:w="4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TURISTA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E877E0" w:rsidRPr="00E877E0" w:rsidTr="00E877E0">
        <w:trPr>
          <w:trHeight w:val="398"/>
          <w:jc w:val="center"/>
        </w:trPr>
        <w:tc>
          <w:tcPr>
            <w:tcW w:w="44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C65911"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6 DE ABRIL - 27 DE OCTUBRE 2026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2795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2585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4805</w:t>
            </w:r>
          </w:p>
        </w:tc>
      </w:tr>
      <w:tr w:rsidR="00E877E0" w:rsidRPr="00E877E0" w:rsidTr="00E877E0">
        <w:trPr>
          <w:trHeight w:val="398"/>
          <w:jc w:val="center"/>
        </w:trPr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PRIMERA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  <w:tr w:rsidR="00E877E0" w:rsidRPr="00E877E0" w:rsidTr="00E877E0">
        <w:trPr>
          <w:trHeight w:val="411"/>
          <w:jc w:val="center"/>
        </w:trPr>
        <w:tc>
          <w:tcPr>
            <w:tcW w:w="4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B7B7B"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6 DE ABRIL - 27 DE OCTUBRE 2026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3415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3040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5990</w:t>
            </w:r>
          </w:p>
        </w:tc>
      </w:tr>
      <w:tr w:rsidR="00E877E0" w:rsidRPr="00E877E0" w:rsidTr="00E877E0">
        <w:trPr>
          <w:trHeight w:val="466"/>
          <w:jc w:val="center"/>
        </w:trPr>
        <w:tc>
          <w:tcPr>
            <w:tcW w:w="44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CATEGORIA SUPERIOR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DOBLE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TRIPLE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noWrap/>
            <w:vAlign w:val="center"/>
            <w:hideMark/>
          </w:tcPr>
          <w:p w:rsidR="00E877E0" w:rsidRPr="00E877E0" w:rsidRDefault="00E877E0" w:rsidP="00E877E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877E0">
              <w:rPr>
                <w:rFonts w:ascii="Calibri" w:hAnsi="Calibri" w:cs="Calibri"/>
                <w:b/>
                <w:bCs/>
                <w:color w:val="000000"/>
                <w:lang w:bidi="ar-SA"/>
              </w:rPr>
              <w:t>SENCILLA</w:t>
            </w:r>
          </w:p>
        </w:tc>
      </w:tr>
    </w:tbl>
    <w:p w:rsidR="00CE0C01" w:rsidRDefault="00CE0C0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4"/>
        <w:gridCol w:w="146"/>
      </w:tblGrid>
      <w:tr w:rsidR="00241283" w:rsidTr="007B19C0">
        <w:trPr>
          <w:gridAfter w:val="1"/>
          <w:wAfter w:w="6" w:type="dxa"/>
          <w:trHeight w:val="471"/>
          <w:jc w:val="center"/>
        </w:trPr>
        <w:tc>
          <w:tcPr>
            <w:tcW w:w="72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C6E0B4"/>
            <w:vAlign w:val="center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 INLCUYE:</w:t>
            </w:r>
            <w:r>
              <w:rPr>
                <w:rFonts w:ascii="Calibri" w:hAnsi="Calibri" w:cs="Calibri"/>
                <w:b/>
                <w:bCs/>
                <w:color w:val="000000"/>
              </w:rPr>
              <w:br/>
              <w:t>• Tasas portuarias &amp; Propinas: 199$ por persona</w:t>
            </w:r>
          </w:p>
        </w:tc>
      </w:tr>
      <w:tr w:rsidR="00241283" w:rsidTr="007B19C0">
        <w:trPr>
          <w:trHeight w:val="510"/>
          <w:jc w:val="center"/>
        </w:trPr>
        <w:tc>
          <w:tcPr>
            <w:tcW w:w="72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283" w:rsidRDefault="00241283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283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8E42A1" w:rsidRDefault="008E42A1" w:rsidP="00CE0C01">
      <w:pPr>
        <w:tabs>
          <w:tab w:val="left" w:pos="3705"/>
        </w:tabs>
        <w:spacing w:line="240" w:lineRule="auto"/>
        <w:rPr>
          <w:rFonts w:ascii="Arial" w:hAnsi="Arial" w:cs="Arial"/>
          <w:color w:val="E36C0A" w:themeColor="accent6" w:themeShade="BF"/>
          <w:sz w:val="20"/>
          <w:szCs w:val="20"/>
        </w:rPr>
      </w:pPr>
    </w:p>
    <w:tbl>
      <w:tblPr>
        <w:tblW w:w="85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4387"/>
      </w:tblGrid>
      <w:tr w:rsidR="00241283" w:rsidRPr="008701D7" w:rsidTr="007B19C0">
        <w:trPr>
          <w:trHeight w:val="554"/>
          <w:jc w:val="center"/>
        </w:trPr>
        <w:tc>
          <w:tcPr>
            <w:tcW w:w="85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41283" w:rsidRPr="008701D7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8701D7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  <w:t xml:space="preserve">SUPER IMPORTANTE: Nueva Tasa de Desarrollo del Turismo Sostenible entrará en vigor el 21 de julio de 2025.                  </w:t>
            </w:r>
            <w:r w:rsidRPr="008701D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Este importe se cobrará directamente a bordo y se pagará por los pasajeros.</w:t>
            </w:r>
          </w:p>
        </w:tc>
      </w:tr>
      <w:tr w:rsidR="00241283" w:rsidRPr="008701D7" w:rsidTr="007B19C0">
        <w:trPr>
          <w:trHeight w:val="471"/>
          <w:jc w:val="center"/>
        </w:trPr>
        <w:tc>
          <w:tcPr>
            <w:tcW w:w="85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41283" w:rsidRPr="008701D7" w:rsidTr="007B19C0">
        <w:trPr>
          <w:trHeight w:val="623"/>
          <w:jc w:val="center"/>
        </w:trPr>
        <w:tc>
          <w:tcPr>
            <w:tcW w:w="85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41283" w:rsidRPr="008701D7" w:rsidTr="007B19C0">
        <w:trPr>
          <w:trHeight w:val="471"/>
          <w:jc w:val="center"/>
        </w:trPr>
        <w:tc>
          <w:tcPr>
            <w:tcW w:w="85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41283" w:rsidRPr="008701D7" w:rsidTr="007B19C0">
        <w:trPr>
          <w:trHeight w:val="363"/>
          <w:jc w:val="center"/>
        </w:trPr>
        <w:tc>
          <w:tcPr>
            <w:tcW w:w="8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41283" w:rsidRPr="008701D7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01D7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241283" w:rsidRPr="008701D7" w:rsidTr="007B19C0">
        <w:trPr>
          <w:trHeight w:val="363"/>
          <w:jc w:val="center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241283" w:rsidRPr="008701D7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01D7">
              <w:rPr>
                <w:rFonts w:ascii="Calibri" w:hAnsi="Calibri" w:cs="Calibri"/>
                <w:b/>
                <w:bCs/>
                <w:color w:val="FFFFFF"/>
              </w:rPr>
              <w:t xml:space="preserve">PERÍODO EN QUE APLICA 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2F75B5"/>
            <w:noWrap/>
            <w:vAlign w:val="center"/>
            <w:hideMark/>
          </w:tcPr>
          <w:p w:rsidR="00241283" w:rsidRPr="008701D7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701D7">
              <w:rPr>
                <w:rFonts w:ascii="Calibri" w:hAnsi="Calibri" w:cs="Calibri"/>
                <w:b/>
                <w:bCs/>
                <w:color w:val="FFFFFF"/>
              </w:rPr>
              <w:t xml:space="preserve">MONTO EN EUROS POR PERSONA </w:t>
            </w:r>
          </w:p>
        </w:tc>
      </w:tr>
      <w:tr w:rsidR="00241283" w:rsidRPr="008701D7" w:rsidTr="007B19C0">
        <w:trPr>
          <w:trHeight w:val="484"/>
          <w:jc w:val="center"/>
        </w:trPr>
        <w:tc>
          <w:tcPr>
            <w:tcW w:w="4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283" w:rsidRPr="008701D7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01D7">
              <w:rPr>
                <w:rFonts w:ascii="Calibri" w:hAnsi="Calibri" w:cs="Calibri"/>
                <w:b/>
                <w:bCs/>
                <w:color w:val="000000"/>
              </w:rPr>
              <w:t>Del 1 de julio al 30 de septiembre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20 € por cada visita a Santorini y </w:t>
            </w:r>
            <w:proofErr w:type="spellStart"/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</w:p>
        </w:tc>
      </w:tr>
      <w:tr w:rsidR="00241283" w:rsidRPr="008701D7" w:rsidTr="007B19C0">
        <w:trPr>
          <w:trHeight w:val="588"/>
          <w:jc w:val="center"/>
        </w:trPr>
        <w:tc>
          <w:tcPr>
            <w:tcW w:w="4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>5 € por cada visita en todos los demás puertos griegos</w:t>
            </w:r>
          </w:p>
        </w:tc>
      </w:tr>
      <w:tr w:rsidR="00241283" w:rsidRPr="008701D7" w:rsidTr="007B19C0">
        <w:trPr>
          <w:trHeight w:val="554"/>
          <w:jc w:val="center"/>
        </w:trPr>
        <w:tc>
          <w:tcPr>
            <w:tcW w:w="4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283" w:rsidRPr="008701D7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01D7">
              <w:rPr>
                <w:rFonts w:ascii="Calibri" w:hAnsi="Calibri" w:cs="Calibri"/>
                <w:b/>
                <w:bCs/>
                <w:color w:val="000000"/>
              </w:rPr>
              <w:t>Del 1 al 31 de octubre y del 1 de abril al 31 de mayo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12 € por cada visita a Santorini y </w:t>
            </w:r>
            <w:proofErr w:type="spellStart"/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1283" w:rsidRPr="008701D7" w:rsidTr="007B19C0">
        <w:trPr>
          <w:trHeight w:val="657"/>
          <w:jc w:val="center"/>
        </w:trPr>
        <w:tc>
          <w:tcPr>
            <w:tcW w:w="4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>3 € por cada visita en todos los demás puertos griegos</w:t>
            </w:r>
          </w:p>
        </w:tc>
      </w:tr>
      <w:tr w:rsidR="00241283" w:rsidRPr="008701D7" w:rsidTr="007B19C0">
        <w:trPr>
          <w:trHeight w:val="461"/>
          <w:jc w:val="center"/>
        </w:trPr>
        <w:tc>
          <w:tcPr>
            <w:tcW w:w="4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283" w:rsidRPr="008701D7" w:rsidRDefault="00241283" w:rsidP="007B19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701D7">
              <w:rPr>
                <w:rFonts w:ascii="Calibri" w:hAnsi="Calibri" w:cs="Calibri"/>
                <w:b/>
                <w:bCs/>
                <w:color w:val="000000"/>
              </w:rPr>
              <w:t>Del 1 de noviembre al 31 de marzo</w:t>
            </w: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4 € por cada visita a Santorini y </w:t>
            </w:r>
            <w:proofErr w:type="spellStart"/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>Mykonos</w:t>
            </w:r>
            <w:proofErr w:type="spellEnd"/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1283" w:rsidRPr="008701D7" w:rsidTr="007B19C0">
        <w:trPr>
          <w:trHeight w:val="600"/>
          <w:jc w:val="center"/>
        </w:trPr>
        <w:tc>
          <w:tcPr>
            <w:tcW w:w="4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283" w:rsidRPr="008701D7" w:rsidRDefault="00241283" w:rsidP="007B19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01D7">
              <w:rPr>
                <w:rFonts w:ascii="Calibri" w:hAnsi="Calibri" w:cs="Calibri"/>
                <w:color w:val="000000"/>
                <w:sz w:val="20"/>
                <w:szCs w:val="20"/>
              </w:rPr>
              <w:t>1 € por cada visita en todos los demás puertos griegos</w:t>
            </w:r>
          </w:p>
        </w:tc>
      </w:tr>
    </w:tbl>
    <w:p w:rsidR="00540477" w:rsidRDefault="00540477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241283" w:rsidRDefault="00241283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241283" w:rsidRDefault="00241283" w:rsidP="004778FB">
      <w:pPr>
        <w:spacing w:after="0" w:line="240" w:lineRule="auto"/>
        <w:jc w:val="both"/>
        <w:rPr>
          <w:rFonts w:ascii="Arial" w:hAnsi="Arial" w:cs="Arial"/>
          <w:color w:val="E36C0A" w:themeColor="accent6" w:themeShade="BF"/>
          <w:sz w:val="20"/>
          <w:szCs w:val="20"/>
        </w:rPr>
      </w:pPr>
    </w:p>
    <w:p w:rsidR="004778FB" w:rsidRPr="00F7777E" w:rsidRDefault="004778FB" w:rsidP="004778FB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7777E">
        <w:rPr>
          <w:rFonts w:ascii="Arial" w:eastAsia="Arial" w:hAnsi="Arial" w:cs="Arial"/>
          <w:b/>
          <w:color w:val="FF0000"/>
          <w:sz w:val="20"/>
          <w:szCs w:val="20"/>
        </w:rPr>
        <w:t>IMPORTANTE:</w:t>
      </w:r>
    </w:p>
    <w:p w:rsidR="004778FB" w:rsidRPr="000C0BF6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Todos los descriptivos de las excursiones son a título informativo, pudiendo modificar y/o alterar los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recorridos por razones operativas y/o sanitarias sin ningún aviso previo y no correspondiendo ningún</w:t>
      </w:r>
      <w:r>
        <w:rPr>
          <w:rFonts w:ascii="Arial" w:eastAsia="Arial" w:hAnsi="Arial" w:cs="Arial"/>
          <w:bCs/>
          <w:color w:val="FF0000"/>
          <w:sz w:val="20"/>
          <w:szCs w:val="20"/>
        </w:rPr>
        <w:t xml:space="preserve"> </w:t>
      </w:r>
      <w:r w:rsidRPr="000D6569">
        <w:rPr>
          <w:rFonts w:ascii="Arial" w:eastAsia="Arial" w:hAnsi="Arial" w:cs="Arial"/>
          <w:bCs/>
          <w:color w:val="FF0000"/>
          <w:sz w:val="20"/>
          <w:szCs w:val="20"/>
        </w:rPr>
        <w:t>tipo de devolución</w:t>
      </w:r>
      <w:r>
        <w:rPr>
          <w:rFonts w:ascii="Arial" w:eastAsia="Arial" w:hAnsi="Arial" w:cs="Arial"/>
          <w:bCs/>
          <w:color w:val="FF0000"/>
          <w:sz w:val="20"/>
          <w:szCs w:val="20"/>
        </w:rPr>
        <w:t>.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L</w:t>
      </w:r>
      <w:r w:rsidRPr="00395B96">
        <w:rPr>
          <w:rFonts w:ascii="Arial" w:eastAsia="Arial" w:hAnsi="Arial" w:cs="Arial"/>
          <w:bCs/>
          <w:color w:val="FF0000"/>
          <w:sz w:val="20"/>
          <w:szCs w:val="20"/>
        </w:rPr>
        <w:t>as tarifas del alojamiento no incluyen IVA. (se debe enviar pasaportes al momento de la reserva).</w:t>
      </w:r>
    </w:p>
    <w:p w:rsidR="004778FB" w:rsidRPr="007E4D0A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FF0000"/>
          <w:sz w:val="20"/>
          <w:szCs w:val="20"/>
        </w:rPr>
      </w:pPr>
      <w:r>
        <w:rPr>
          <w:rFonts w:ascii="Arial" w:eastAsia="Arial" w:hAnsi="Arial" w:cs="Arial"/>
          <w:bCs/>
          <w:color w:val="FF0000"/>
          <w:sz w:val="20"/>
          <w:szCs w:val="20"/>
        </w:rPr>
        <w:t>Aplica suplemento viajando 1 sola persona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Se considera menor de 2 a 12 años.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Máximo 2 menores compartiendo con 2 adultos en la ocupación máxima de la habitación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Habitaciones estándar. En caso de preferir habitaciones superiores favor de consultar.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No se reembolsará ningún traslado o visita en el caso de no disfrute o de cancelación del mismo.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El orden de las actividades puede tener modificaciones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Manejo de equipaje en el tour máximo de 1 maleta por persona. En caso de equipaje adicional costos extras pueden ser cobrados en destino.  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Tarifa y salidas del crucero sujetas a disponibilidad y cambios sin previo aviso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Es responsabilidad del pasajero contar con documentos y </w:t>
      </w:r>
      <w:r w:rsidRPr="000D6569">
        <w:rPr>
          <w:rFonts w:ascii="Arial" w:eastAsia="Arial" w:hAnsi="Arial" w:cs="Arial"/>
          <w:b/>
          <w:bCs/>
          <w:color w:val="000000"/>
          <w:sz w:val="20"/>
          <w:szCs w:val="20"/>
        </w:rPr>
        <w:t>vacunas</w:t>
      </w: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 requeridas antes de su viaje.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Los documentos finales del crucero se envían aproximadamente 30 días antes de la salida</w:t>
      </w:r>
    </w:p>
    <w:p w:rsidR="004778FB" w:rsidRPr="00F7777E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 xml:space="preserve">Los impuestos portuarios varían dependiendo los puertos de salida y llegada </w:t>
      </w:r>
    </w:p>
    <w:p w:rsidR="004778FB" w:rsidRDefault="004778FB" w:rsidP="004778F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7777E">
        <w:rPr>
          <w:rFonts w:ascii="Arial" w:eastAsia="Arial" w:hAnsi="Arial" w:cs="Arial"/>
          <w:color w:val="000000"/>
          <w:sz w:val="20"/>
          <w:szCs w:val="20"/>
        </w:rPr>
        <w:t>La edad mínima en niños viajando en cruceros es de 6 meses, con la excepción de los trasatlánticos, transpacíficos, Hawái y cruceros de América del Sur donde la edad mínima es de 12 mese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:rsidR="004778FB" w:rsidRDefault="004778FB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CC6B7F" w:rsidRDefault="00CC6B7F" w:rsidP="00477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4509F" w:rsidRDefault="0084509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C6B7F" w:rsidRPr="008E0017" w:rsidRDefault="00CC6B7F" w:rsidP="007973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inline distT="0" distB="0" distL="0" distR="0" wp14:anchorId="14745853" wp14:editId="474D7699">
            <wp:extent cx="6330756" cy="2184400"/>
            <wp:effectExtent l="0" t="0" r="0" b="6350"/>
            <wp:docPr id="7" name="Imagen 7" descr="https://cdn-content.crucerum.com/public/storage/barcos/barco-167966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content.crucerum.com/public/storage/barcos/barco-16796608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280" cy="218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B7F" w:rsidRPr="008E0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0BC" w:rsidRDefault="00C910BC">
      <w:pPr>
        <w:spacing w:after="0" w:line="240" w:lineRule="auto"/>
      </w:pPr>
      <w:r>
        <w:separator/>
      </w:r>
    </w:p>
  </w:endnote>
  <w:endnote w:type="continuationSeparator" w:id="0">
    <w:p w:rsidR="00C910BC" w:rsidRDefault="00C9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0BC" w:rsidRDefault="00C910B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C910BC" w:rsidRDefault="00C9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53DC189">
              <wp:simplePos x="0" y="0"/>
              <wp:positionH relativeFrom="column">
                <wp:posOffset>-529590</wp:posOffset>
              </wp:positionH>
              <wp:positionV relativeFrom="paragraph">
                <wp:posOffset>-220980</wp:posOffset>
              </wp:positionV>
              <wp:extent cx="501650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650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012D" w:rsidRPr="00C8584E" w:rsidRDefault="005150BD" w:rsidP="00C8584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150B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ATENAS, PELOPONESO, METEORA Y CRUCERO POR EL EGEO</w:t>
                          </w:r>
                          <w:r w:rsidR="00E446EB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0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</w:r>
                          <w:r w:rsidRPr="005150B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Clave: 849-N202</w:t>
                          </w:r>
                          <w:r w:rsidR="00E877E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2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:rsidR="00E446EB" w:rsidRDefault="00E446EB"/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17.4pt;width:39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0012D" w:rsidRPr="00C8584E" w:rsidRDefault="005150BD" w:rsidP="00C8584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150B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ATENAS, PELOPONESO, METEORA Y CRUCERO POR EL EGEO</w:t>
                    </w:r>
                    <w:r w:rsidR="00E446EB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0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</w:r>
                    <w:r w:rsidRPr="005150B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Clave: 849-N202</w:t>
                    </w:r>
                    <w:r w:rsidR="00E877E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2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:rsidR="00E446EB" w:rsidRDefault="00E446EB"/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271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1BB73F5C" wp14:editId="73E82AAD">
          <wp:simplePos x="0" y="0"/>
          <wp:positionH relativeFrom="margin">
            <wp:posOffset>3229610</wp:posOffset>
          </wp:positionH>
          <wp:positionV relativeFrom="paragraph">
            <wp:posOffset>228638</wp:posOffset>
          </wp:positionV>
          <wp:extent cx="1237732" cy="405130"/>
          <wp:effectExtent l="0" t="0" r="63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lac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732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18C0"/>
    <w:multiLevelType w:val="hybridMultilevel"/>
    <w:tmpl w:val="625E225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58BD"/>
    <w:multiLevelType w:val="hybridMultilevel"/>
    <w:tmpl w:val="0BFAC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5C54"/>
    <w:multiLevelType w:val="hybridMultilevel"/>
    <w:tmpl w:val="B572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93E7D"/>
    <w:multiLevelType w:val="hybridMultilevel"/>
    <w:tmpl w:val="F0347B5A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F407A6"/>
    <w:multiLevelType w:val="hybridMultilevel"/>
    <w:tmpl w:val="21A05CA4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71485"/>
    <w:multiLevelType w:val="hybridMultilevel"/>
    <w:tmpl w:val="CF848D84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45E"/>
    <w:multiLevelType w:val="hybridMultilevel"/>
    <w:tmpl w:val="313E6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B29FB"/>
    <w:multiLevelType w:val="hybridMultilevel"/>
    <w:tmpl w:val="6DA4C612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465BF"/>
    <w:multiLevelType w:val="hybridMultilevel"/>
    <w:tmpl w:val="5C3CF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16086"/>
    <w:multiLevelType w:val="hybridMultilevel"/>
    <w:tmpl w:val="A4F4C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3C4A"/>
    <w:multiLevelType w:val="hybridMultilevel"/>
    <w:tmpl w:val="3AC88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259CB"/>
    <w:multiLevelType w:val="hybridMultilevel"/>
    <w:tmpl w:val="0C569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C3930"/>
    <w:multiLevelType w:val="hybridMultilevel"/>
    <w:tmpl w:val="4BB4AC0A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E0557C"/>
    <w:multiLevelType w:val="multilevel"/>
    <w:tmpl w:val="70DE7B1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772FB5"/>
    <w:multiLevelType w:val="hybridMultilevel"/>
    <w:tmpl w:val="FE780DA8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A641B"/>
    <w:multiLevelType w:val="hybridMultilevel"/>
    <w:tmpl w:val="64FC72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93A88"/>
    <w:multiLevelType w:val="hybridMultilevel"/>
    <w:tmpl w:val="E21E4EE0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4177D"/>
    <w:multiLevelType w:val="hybridMultilevel"/>
    <w:tmpl w:val="A9F821F0"/>
    <w:lvl w:ilvl="0" w:tplc="3D44DB40">
      <w:start w:val="7"/>
      <w:numFmt w:val="bullet"/>
      <w:lvlText w:val="•"/>
      <w:lvlJc w:val="left"/>
      <w:pPr>
        <w:ind w:left="180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947B34"/>
    <w:multiLevelType w:val="hybridMultilevel"/>
    <w:tmpl w:val="B74A20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3C54A0"/>
    <w:multiLevelType w:val="hybridMultilevel"/>
    <w:tmpl w:val="92DC67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A172D"/>
    <w:multiLevelType w:val="hybridMultilevel"/>
    <w:tmpl w:val="8F3EA23E"/>
    <w:lvl w:ilvl="0" w:tplc="3D44DB40">
      <w:start w:val="7"/>
      <w:numFmt w:val="bullet"/>
      <w:lvlText w:val="•"/>
      <w:lvlJc w:val="left"/>
      <w:pPr>
        <w:ind w:left="144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377EC3"/>
    <w:multiLevelType w:val="hybridMultilevel"/>
    <w:tmpl w:val="AC0E16A6"/>
    <w:lvl w:ilvl="0" w:tplc="3D44DB40">
      <w:start w:val="7"/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8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3"/>
  </w:num>
  <w:num w:numId="14">
    <w:abstractNumId w:val="21"/>
  </w:num>
  <w:num w:numId="15">
    <w:abstractNumId w:val="4"/>
  </w:num>
  <w:num w:numId="16">
    <w:abstractNumId w:val="0"/>
  </w:num>
  <w:num w:numId="17">
    <w:abstractNumId w:val="17"/>
  </w:num>
  <w:num w:numId="18">
    <w:abstractNumId w:val="13"/>
  </w:num>
  <w:num w:numId="19">
    <w:abstractNumId w:val="14"/>
  </w:num>
  <w:num w:numId="20">
    <w:abstractNumId w:val="12"/>
  </w:num>
  <w:num w:numId="21">
    <w:abstractNumId w:val="7"/>
  </w:num>
  <w:num w:numId="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2A4A"/>
    <w:rsid w:val="00054A58"/>
    <w:rsid w:val="000B5411"/>
    <w:rsid w:val="00121872"/>
    <w:rsid w:val="00121D3F"/>
    <w:rsid w:val="001308DE"/>
    <w:rsid w:val="00136610"/>
    <w:rsid w:val="001760D9"/>
    <w:rsid w:val="00186469"/>
    <w:rsid w:val="001934F5"/>
    <w:rsid w:val="00197448"/>
    <w:rsid w:val="001B4CFE"/>
    <w:rsid w:val="0020594A"/>
    <w:rsid w:val="00206A52"/>
    <w:rsid w:val="0022469A"/>
    <w:rsid w:val="00241283"/>
    <w:rsid w:val="00253EC6"/>
    <w:rsid w:val="00260703"/>
    <w:rsid w:val="00260A7E"/>
    <w:rsid w:val="002716DA"/>
    <w:rsid w:val="0028467B"/>
    <w:rsid w:val="002A0AC4"/>
    <w:rsid w:val="002A3E36"/>
    <w:rsid w:val="002B20BB"/>
    <w:rsid w:val="002E2148"/>
    <w:rsid w:val="0030077C"/>
    <w:rsid w:val="003472AF"/>
    <w:rsid w:val="003549A2"/>
    <w:rsid w:val="00372355"/>
    <w:rsid w:val="00385F60"/>
    <w:rsid w:val="003B524E"/>
    <w:rsid w:val="003F7968"/>
    <w:rsid w:val="004002E5"/>
    <w:rsid w:val="00406B6E"/>
    <w:rsid w:val="00430DCE"/>
    <w:rsid w:val="004354F5"/>
    <w:rsid w:val="0044412B"/>
    <w:rsid w:val="00445E5F"/>
    <w:rsid w:val="004778FB"/>
    <w:rsid w:val="00493763"/>
    <w:rsid w:val="004A3839"/>
    <w:rsid w:val="004A4DC7"/>
    <w:rsid w:val="004A5406"/>
    <w:rsid w:val="004B58B8"/>
    <w:rsid w:val="004F3ADB"/>
    <w:rsid w:val="0050425F"/>
    <w:rsid w:val="005150BD"/>
    <w:rsid w:val="00540477"/>
    <w:rsid w:val="005507FE"/>
    <w:rsid w:val="005679E5"/>
    <w:rsid w:val="005960CB"/>
    <w:rsid w:val="005A1149"/>
    <w:rsid w:val="005D2183"/>
    <w:rsid w:val="00600CC3"/>
    <w:rsid w:val="00606315"/>
    <w:rsid w:val="006210F5"/>
    <w:rsid w:val="006368D0"/>
    <w:rsid w:val="00655CC5"/>
    <w:rsid w:val="00661413"/>
    <w:rsid w:val="006835E6"/>
    <w:rsid w:val="0068514F"/>
    <w:rsid w:val="00687ED9"/>
    <w:rsid w:val="00692BA8"/>
    <w:rsid w:val="006C1CB0"/>
    <w:rsid w:val="006C2396"/>
    <w:rsid w:val="006D29F5"/>
    <w:rsid w:val="006D72E8"/>
    <w:rsid w:val="007043A3"/>
    <w:rsid w:val="00706A43"/>
    <w:rsid w:val="007131C0"/>
    <w:rsid w:val="007138F1"/>
    <w:rsid w:val="00724E17"/>
    <w:rsid w:val="00743093"/>
    <w:rsid w:val="00757187"/>
    <w:rsid w:val="00792693"/>
    <w:rsid w:val="00794B66"/>
    <w:rsid w:val="007973C7"/>
    <w:rsid w:val="007A3CDE"/>
    <w:rsid w:val="007E01BB"/>
    <w:rsid w:val="007F7B70"/>
    <w:rsid w:val="00825C6E"/>
    <w:rsid w:val="0084509F"/>
    <w:rsid w:val="00853D64"/>
    <w:rsid w:val="0088560B"/>
    <w:rsid w:val="008C17A6"/>
    <w:rsid w:val="008C56AB"/>
    <w:rsid w:val="008E0017"/>
    <w:rsid w:val="008E42A1"/>
    <w:rsid w:val="008E5CC0"/>
    <w:rsid w:val="008F157E"/>
    <w:rsid w:val="008F4840"/>
    <w:rsid w:val="0090199B"/>
    <w:rsid w:val="009119BC"/>
    <w:rsid w:val="00945F42"/>
    <w:rsid w:val="00970405"/>
    <w:rsid w:val="009767C9"/>
    <w:rsid w:val="00985F89"/>
    <w:rsid w:val="00986E85"/>
    <w:rsid w:val="009B29A1"/>
    <w:rsid w:val="009C0740"/>
    <w:rsid w:val="009D7C74"/>
    <w:rsid w:val="00A0012D"/>
    <w:rsid w:val="00A05B51"/>
    <w:rsid w:val="00A109A1"/>
    <w:rsid w:val="00A1676A"/>
    <w:rsid w:val="00A322C8"/>
    <w:rsid w:val="00A32A11"/>
    <w:rsid w:val="00A455A6"/>
    <w:rsid w:val="00A526AD"/>
    <w:rsid w:val="00A7248E"/>
    <w:rsid w:val="00A979AE"/>
    <w:rsid w:val="00AA2A48"/>
    <w:rsid w:val="00AA302B"/>
    <w:rsid w:val="00AB0E37"/>
    <w:rsid w:val="00B1028F"/>
    <w:rsid w:val="00B11AFA"/>
    <w:rsid w:val="00B13D81"/>
    <w:rsid w:val="00B840FB"/>
    <w:rsid w:val="00B8522A"/>
    <w:rsid w:val="00BA37C5"/>
    <w:rsid w:val="00BB3D24"/>
    <w:rsid w:val="00BB793D"/>
    <w:rsid w:val="00BC30AB"/>
    <w:rsid w:val="00BD0198"/>
    <w:rsid w:val="00BD0EA5"/>
    <w:rsid w:val="00BF498E"/>
    <w:rsid w:val="00C1510A"/>
    <w:rsid w:val="00C8584E"/>
    <w:rsid w:val="00C90CC1"/>
    <w:rsid w:val="00C910BC"/>
    <w:rsid w:val="00C97FB6"/>
    <w:rsid w:val="00CC6B7F"/>
    <w:rsid w:val="00CD702C"/>
    <w:rsid w:val="00CE0C01"/>
    <w:rsid w:val="00CE0C8F"/>
    <w:rsid w:val="00D2140A"/>
    <w:rsid w:val="00D500FD"/>
    <w:rsid w:val="00D6066D"/>
    <w:rsid w:val="00D71BE3"/>
    <w:rsid w:val="00DD2475"/>
    <w:rsid w:val="00E01424"/>
    <w:rsid w:val="00E236E2"/>
    <w:rsid w:val="00E446EB"/>
    <w:rsid w:val="00E701F2"/>
    <w:rsid w:val="00E856F2"/>
    <w:rsid w:val="00E877E0"/>
    <w:rsid w:val="00EA6A5B"/>
    <w:rsid w:val="00EB2671"/>
    <w:rsid w:val="00EE2794"/>
    <w:rsid w:val="00EE5A2D"/>
    <w:rsid w:val="00F01C44"/>
    <w:rsid w:val="00F14FD9"/>
    <w:rsid w:val="00F257E1"/>
    <w:rsid w:val="00F30B92"/>
    <w:rsid w:val="00F341D4"/>
    <w:rsid w:val="00F70745"/>
    <w:rsid w:val="00F85C88"/>
    <w:rsid w:val="00FA61D6"/>
    <w:rsid w:val="00FA6C98"/>
    <w:rsid w:val="00FC449A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RPARRA</cp:lastModifiedBy>
  <cp:revision>1</cp:revision>
  <dcterms:created xsi:type="dcterms:W3CDTF">2025-11-20T23:21:00Z</dcterms:created>
  <dcterms:modified xsi:type="dcterms:W3CDTF">2025-11-20T23:21:00Z</dcterms:modified>
</cp:coreProperties>
</file>