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61" w:rsidRPr="0018195C" w:rsidRDefault="00386E61" w:rsidP="00386E61">
      <w:pPr>
        <w:jc w:val="center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 xml:space="preserve">Estambul, </w:t>
      </w:r>
      <w:proofErr w:type="spellStart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>Canakkale</w:t>
      </w:r>
      <w:proofErr w:type="spellEnd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 xml:space="preserve"> (Troya), </w:t>
      </w:r>
      <w:proofErr w:type="spellStart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>Pergamo</w:t>
      </w:r>
      <w:proofErr w:type="spellEnd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 xml:space="preserve">, </w:t>
      </w:r>
      <w:proofErr w:type="spellStart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>Kusadasi</w:t>
      </w:r>
      <w:proofErr w:type="spellEnd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 xml:space="preserve">, </w:t>
      </w:r>
      <w:proofErr w:type="spellStart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>Pamukkale</w:t>
      </w:r>
      <w:proofErr w:type="spellEnd"/>
      <w:r w:rsidRPr="0018195C">
        <w:rPr>
          <w:rFonts w:ascii="Arial" w:eastAsia="Arial Unicode MS" w:hAnsi="Arial" w:cs="Arial"/>
          <w:b/>
          <w:color w:val="000000"/>
          <w:sz w:val="20"/>
          <w:szCs w:val="20"/>
          <w:lang w:val="es-MX"/>
        </w:rPr>
        <w:t>, Capadocia y Ankara.</w:t>
      </w:r>
    </w:p>
    <w:p w:rsidR="00386E61" w:rsidRPr="0018195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:rsidR="00D30FF5" w:rsidRPr="00843CA1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43CA1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87F4DB0" wp14:editId="5E186544">
            <wp:simplePos x="0" y="0"/>
            <wp:positionH relativeFrom="column">
              <wp:posOffset>4867275</wp:posOffset>
            </wp:positionH>
            <wp:positionV relativeFrom="paragraph">
              <wp:posOffset>32385</wp:posOffset>
            </wp:positionV>
            <wp:extent cx="1695450" cy="4476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843CA1">
        <w:rPr>
          <w:rFonts w:ascii="Arial" w:hAnsi="Arial" w:cs="Arial"/>
          <w:b/>
          <w:sz w:val="20"/>
          <w:szCs w:val="20"/>
          <w:lang w:val="es-CR"/>
        </w:rPr>
        <w:t>Duración: 10 días</w:t>
      </w:r>
    </w:p>
    <w:p w:rsidR="008B127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43CA1">
        <w:rPr>
          <w:rFonts w:ascii="Arial" w:hAnsi="Arial" w:cs="Arial"/>
          <w:b/>
          <w:sz w:val="20"/>
          <w:szCs w:val="20"/>
          <w:lang w:val="es-CR"/>
        </w:rPr>
        <w:t>Llegadas:</w:t>
      </w:r>
      <w:r w:rsidR="008238B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43A64">
        <w:rPr>
          <w:rFonts w:ascii="Arial" w:hAnsi="Arial" w:cs="Arial"/>
          <w:b/>
          <w:sz w:val="20"/>
          <w:szCs w:val="20"/>
          <w:lang w:val="es-CR"/>
        </w:rPr>
        <w:t>enero a noviembre 2024</w:t>
      </w:r>
      <w:r w:rsidR="008238BF">
        <w:rPr>
          <w:rFonts w:ascii="Arial" w:hAnsi="Arial" w:cs="Arial"/>
          <w:b/>
          <w:sz w:val="20"/>
          <w:szCs w:val="20"/>
          <w:lang w:val="es-CR"/>
        </w:rPr>
        <w:t>, fechas especificas</w:t>
      </w:r>
    </w:p>
    <w:p w:rsidR="0033154C" w:rsidRPr="00843CA1" w:rsidRDefault="0033154C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D30FF5" w:rsidRPr="00843CA1" w:rsidRDefault="00D30FF5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ESTAMBUL</w:t>
      </w: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Llegada al aeropuerto Internacional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traslado al hotel.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 2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ESTAMBUL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Día libre con posibilidad de realizar una excursión opcional </w:t>
      </w:r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Bósforo y Barrio </w:t>
      </w:r>
      <w:proofErr w:type="spellStart"/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>Sultanahmet</w:t>
      </w:r>
      <w:proofErr w:type="spellEnd"/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 </w:t>
      </w:r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(Incluido en la contratación del </w:t>
      </w:r>
      <w:proofErr w:type="spellStart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Travel</w:t>
      </w:r>
      <w:proofErr w:type="spellEnd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 Shop Pack)</w:t>
      </w:r>
      <w:r w:rsidRPr="00030C12">
        <w:rPr>
          <w:rFonts w:ascii="Arial" w:hAnsi="Arial" w:cs="Arial"/>
          <w:color w:val="0000FF"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</w:t>
      </w:r>
      <w:r w:rsidR="00972C7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>EXCURSI</w:t>
      </w:r>
      <w:r w:rsidR="00030C12">
        <w:rPr>
          <w:rFonts w:ascii="Arial" w:hAnsi="Arial" w:cs="Arial"/>
          <w:color w:val="FF0000"/>
          <w:sz w:val="20"/>
          <w:szCs w:val="20"/>
          <w:lang w:val="es-MX" w:eastAsia="es-MX"/>
        </w:rPr>
        <w:t>Ó</w:t>
      </w: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>N OPCIONAL | B</w:t>
      </w:r>
      <w:r w:rsidR="00030C12">
        <w:rPr>
          <w:rFonts w:ascii="Arial" w:hAnsi="Arial" w:cs="Arial"/>
          <w:color w:val="FF0000"/>
          <w:sz w:val="20"/>
          <w:szCs w:val="20"/>
          <w:lang w:val="es-MX" w:eastAsia="es-MX"/>
        </w:rPr>
        <w:t>Ó</w:t>
      </w: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SFORO Y BARRIO SULTANAHMET </w:t>
      </w:r>
      <w:r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>(Día completo sin almuerzo)</w:t>
      </w:r>
    </w:p>
    <w:p w:rsidR="00126AD4" w:rsidRPr="002276D9" w:rsidRDefault="00126AD4" w:rsidP="00126AD4">
      <w:pPr>
        <w:shd w:val="clear" w:color="auto" w:fill="FFFFFF"/>
        <w:jc w:val="both"/>
        <w:rPr>
          <w:rFonts w:ascii="Arial" w:hAnsi="Arial" w:cs="Arial"/>
          <w:color w:val="7030A0"/>
          <w:sz w:val="20"/>
          <w:szCs w:val="20"/>
          <w:lang w:val="es-MX" w:eastAsia="es-MX"/>
        </w:rPr>
      </w:pPr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Salida del hotel para visita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yalı</w:t>
      </w:r>
      <w:proofErr w:type="spellEnd"/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, palacetes de madera construidos en ambas orillas. Por la tarde visita al barrio </w:t>
      </w:r>
      <w:proofErr w:type="spellStart"/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Sultanahmet</w:t>
      </w:r>
      <w:proofErr w:type="spellEnd"/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 con la plaza del Hipódromo Romano, la Mezquita Azul, única entre todas las mezquitas otomanas a tener 6 minaretes y la espléndida basílica de Santa Sofía del siglo VI. Regreso al hotel</w:t>
      </w:r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.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         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 3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ESTAMBUL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–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ANKARA 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lang w:val="es-MX" w:eastAsia="es-MX"/>
        </w:rPr>
      </w:pPr>
      <w:r w:rsidRPr="00972C7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Mañana libre con posibilidad de realizar una excursión opcional al </w:t>
      </w:r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Palacio </w:t>
      </w:r>
      <w:proofErr w:type="spellStart"/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>Topkapi</w:t>
      </w:r>
      <w:proofErr w:type="spellEnd"/>
      <w:r w:rsidRPr="00843CA1">
        <w:rPr>
          <w:rFonts w:ascii="Arial" w:hAnsi="Arial" w:cs="Arial"/>
          <w:b/>
          <w:color w:val="FF0000"/>
          <w:sz w:val="20"/>
          <w:szCs w:val="20"/>
          <w:lang w:val="es-MX" w:eastAsia="es-MX"/>
        </w:rPr>
        <w:t xml:space="preserve"> y Gran Bazar </w:t>
      </w:r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(Incluido en la contratación del </w:t>
      </w:r>
      <w:proofErr w:type="spellStart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Travel</w:t>
      </w:r>
      <w:proofErr w:type="spellEnd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 Shop Pack.)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>EXCURSI</w:t>
      </w:r>
      <w:r w:rsidR="00030C12">
        <w:rPr>
          <w:rFonts w:ascii="Arial" w:hAnsi="Arial" w:cs="Arial"/>
          <w:color w:val="FF0000"/>
          <w:sz w:val="20"/>
          <w:szCs w:val="20"/>
          <w:lang w:val="es-MX" w:eastAsia="es-MX"/>
        </w:rPr>
        <w:t>Ó</w:t>
      </w: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>N OPCIONAL |</w:t>
      </w:r>
      <w:r w:rsidR="00B57683"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PALACIO TOPKAPI Y GRAN BAZAR </w:t>
      </w:r>
      <w:r w:rsidR="00B57683"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>(</w:t>
      </w:r>
      <w:r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>Medio</w:t>
      </w:r>
      <w:r w:rsidR="00B57683"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día</w:t>
      </w:r>
      <w:r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sin almuerzo) </w:t>
      </w:r>
    </w:p>
    <w:p w:rsidR="00126AD4" w:rsidRPr="002276D9" w:rsidRDefault="00126AD4" w:rsidP="00126AD4">
      <w:pPr>
        <w:shd w:val="clear" w:color="auto" w:fill="FFFFFF"/>
        <w:jc w:val="both"/>
        <w:rPr>
          <w:rFonts w:ascii="Arial" w:hAnsi="Arial" w:cs="Arial"/>
          <w:color w:val="7030A0"/>
          <w:sz w:val="20"/>
          <w:szCs w:val="20"/>
          <w:lang w:val="es-MX" w:eastAsia="es-MX"/>
        </w:rPr>
      </w:pPr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Salida del hotel para visita del Palacio de </w:t>
      </w:r>
      <w:proofErr w:type="spellStart"/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>Topkapı</w:t>
      </w:r>
      <w:proofErr w:type="spellEnd"/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>, residencia y centro administrativo de los sultanes del Imperio Otomano, famoso por sus excelentes colecciones de armas, joyas, porcelanas y reliquias (sección Harén con billete suplementario</w:t>
      </w:r>
      <w:r w:rsidR="00843CA1"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>). Continuación</w:t>
      </w:r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 para tiempo libre en el Gran Bazar (cerrado los domingos</w:t>
      </w:r>
      <w:r w:rsidR="00B57683"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>, fiestas religiosas</w:t>
      </w:r>
      <w:r w:rsidRPr="002276D9">
        <w:rPr>
          <w:rFonts w:ascii="Arial" w:hAnsi="Arial" w:cs="Arial"/>
          <w:color w:val="7030A0"/>
          <w:sz w:val="20"/>
          <w:szCs w:val="20"/>
          <w:lang w:val="es-MX" w:eastAsia="es-MX"/>
        </w:rPr>
        <w:t>), edificio que alberga más de 4000 tiendas en su interior.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Aproximadamente a las 13:00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hrs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., salida en autocar para Ankara (450 km), pasando por el puente intercontinental de Estambul. Llegada a la capital del país.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Cena en el hotel. </w:t>
      </w:r>
      <w:r w:rsidR="00972C7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B57683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4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ANKARA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–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CAPADOCIA   </w:t>
      </w: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Visita a la capital de Turquía con el Museo de las Civilizaciones de Anatolia con exposición de restos paleolíticos, neolíticos, hitita, frigia Urartu</w:t>
      </w:r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etc.</w:t>
      </w:r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y el Mausoleo de </w:t>
      </w:r>
      <w:proofErr w:type="spellStart"/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dedicado al fundador de la </w:t>
      </w:r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República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Turca. Salida para Capadocia (290 km). En el camino, visita a la ciudad subterránea construida por las comunidades cristianas para protegerse de los ataques árabes. La ciudad subterránea conserva los establos, salas comunes, sala de reuniones y pequeñas habitaciones para las familias.  Llegada a la región de Capadocia.”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5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CAPADOCIA </w:t>
      </w:r>
    </w:p>
    <w:p w:rsidR="00B57683" w:rsidRPr="00030C12" w:rsidRDefault="00B57683" w:rsidP="00B57683">
      <w:pPr>
        <w:shd w:val="clear" w:color="auto" w:fill="FFFFFF"/>
        <w:jc w:val="both"/>
        <w:rPr>
          <w:rFonts w:ascii="Arial" w:hAnsi="Arial" w:cs="Arial"/>
          <w:b/>
          <w:color w:val="0000FF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Muy temprano posibilidad de realizar una excursión opcional </w:t>
      </w:r>
      <w:r w:rsidR="00030C12" w:rsidRPr="00030C12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vuelo e</w:t>
      </w:r>
      <w:r w:rsidRPr="00030C12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n </w:t>
      </w:r>
      <w:r w:rsidR="00030C12" w:rsidRPr="00030C12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g</w:t>
      </w:r>
      <w:r w:rsidRPr="00030C12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lobo</w:t>
      </w:r>
      <w:r w:rsidRPr="00030C12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 </w:t>
      </w:r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(Incluido en la contratación del </w:t>
      </w:r>
      <w:proofErr w:type="spellStart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Travel</w:t>
      </w:r>
      <w:proofErr w:type="spellEnd"/>
      <w:r w:rsidRPr="00030C12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 Shop Pack.)</w:t>
      </w:r>
    </w:p>
    <w:p w:rsidR="00972C70" w:rsidRDefault="00972C70" w:rsidP="00B57683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lang w:val="es-MX" w:eastAsia="es-MX"/>
        </w:rPr>
      </w:pP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>EXCURSI</w:t>
      </w:r>
      <w:r w:rsidR="00030C12">
        <w:rPr>
          <w:rFonts w:ascii="Arial" w:hAnsi="Arial" w:cs="Arial"/>
          <w:color w:val="FF0000"/>
          <w:sz w:val="20"/>
          <w:szCs w:val="20"/>
          <w:lang w:val="es-MX" w:eastAsia="es-MX"/>
        </w:rPr>
        <w:t>Ó</w:t>
      </w:r>
      <w:r w:rsidRPr="00843CA1">
        <w:rPr>
          <w:rFonts w:ascii="Arial" w:hAnsi="Arial" w:cs="Arial"/>
          <w:color w:val="FF0000"/>
          <w:sz w:val="20"/>
          <w:szCs w:val="20"/>
          <w:lang w:val="es-MX" w:eastAsia="es-MX"/>
        </w:rPr>
        <w:t xml:space="preserve">N OPCIONAL | EXCURSION EN GLOBO   </w:t>
      </w:r>
    </w:p>
    <w:p w:rsidR="00126AD4" w:rsidRPr="00030C12" w:rsidRDefault="00126AD4" w:rsidP="00126AD4">
      <w:pPr>
        <w:shd w:val="clear" w:color="auto" w:fill="FFFFFF"/>
        <w:jc w:val="both"/>
        <w:rPr>
          <w:rFonts w:ascii="Arial" w:hAnsi="Arial" w:cs="Arial"/>
          <w:color w:val="7030A0"/>
          <w:sz w:val="20"/>
          <w:szCs w:val="20"/>
          <w:lang w:val="es-MX" w:eastAsia="es-MX"/>
        </w:rPr>
      </w:pPr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Al amanecer, posibilidad de participar a una </w:t>
      </w:r>
      <w:r w:rsidR="00B57683"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excursión</w:t>
      </w:r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 en globo </w:t>
      </w:r>
      <w:r w:rsidR="00B57683"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aerostático</w:t>
      </w:r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 xml:space="preserve">, una experiencia </w:t>
      </w:r>
      <w:r w:rsidR="00B57683"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única</w:t>
      </w:r>
      <w:r w:rsidRPr="00030C12">
        <w:rPr>
          <w:rFonts w:ascii="Arial" w:hAnsi="Arial" w:cs="Arial"/>
          <w:color w:val="7030A0"/>
          <w:sz w:val="20"/>
          <w:szCs w:val="20"/>
          <w:lang w:val="es-MX" w:eastAsia="es-MX"/>
        </w:rPr>
        <w:t>, sobre las formaciones rocosas, chimeneas de hadas, formaciones naturales, paisajes lunares.</w:t>
      </w:r>
    </w:p>
    <w:p w:rsidR="0018195C" w:rsidRPr="00030C12" w:rsidRDefault="0018195C" w:rsidP="00126AD4">
      <w:pPr>
        <w:shd w:val="clear" w:color="auto" w:fill="FFFFFF"/>
        <w:jc w:val="both"/>
        <w:rPr>
          <w:rFonts w:ascii="Arial" w:hAnsi="Arial" w:cs="Arial"/>
          <w:b/>
          <w:bCs/>
          <w:color w:val="7030A0"/>
          <w:sz w:val="20"/>
          <w:szCs w:val="20"/>
          <w:lang w:val="es-MX" w:eastAsia="es-MX"/>
        </w:rPr>
      </w:pP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sz w:val="20"/>
          <w:szCs w:val="20"/>
          <w:lang w:val="es-MX" w:eastAsia="es-MX"/>
        </w:rPr>
        <w:t>Desayuno.</w:t>
      </w:r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 Día dedicado a la visita de esta fantástica región con sus chimeneas de hadas espectaculares, única en el mundo:  Valle de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Goreme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, con sus iglesias rupestres, con pinturas de los siglos X y XI; parada al pueblo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troglodyta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 de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Uçhisar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, visita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Avcilar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 el cual tiene un paisaje espectacular, valle de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Derbent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 con sus formaciones rocosas naturales curiosas y tiempo para talleres artesanales como alfombras y </w:t>
      </w:r>
      <w:proofErr w:type="spellStart"/>
      <w:r w:rsidRPr="00843CA1">
        <w:rPr>
          <w:rFonts w:ascii="Arial" w:hAnsi="Arial" w:cs="Arial"/>
          <w:sz w:val="20"/>
          <w:szCs w:val="20"/>
          <w:lang w:val="es-MX" w:eastAsia="es-MX"/>
        </w:rPr>
        <w:t>onyx</w:t>
      </w:r>
      <w:proofErr w:type="spellEnd"/>
      <w:r w:rsidRPr="00843CA1">
        <w:rPr>
          <w:rFonts w:ascii="Arial" w:hAnsi="Arial" w:cs="Arial"/>
          <w:sz w:val="20"/>
          <w:szCs w:val="20"/>
          <w:lang w:val="es-MX" w:eastAsia="es-MX"/>
        </w:rPr>
        <w:t xml:space="preserve">-piedras semipreciosas montadas en joyería de plata. </w:t>
      </w:r>
      <w:r w:rsidRPr="0033154C">
        <w:rPr>
          <w:rFonts w:ascii="Arial" w:hAnsi="Arial" w:cs="Arial"/>
          <w:b/>
          <w:bCs/>
          <w:sz w:val="20"/>
          <w:szCs w:val="20"/>
          <w:lang w:val="es-MX" w:eastAsia="es-MX"/>
        </w:rPr>
        <w:t>Cena y alojamiento.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6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CAPADOCIA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-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PAMUKKALE  </w:t>
      </w: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salida para </w:t>
      </w:r>
      <w:proofErr w:type="spellStart"/>
      <w:proofErr w:type="gramStart"/>
      <w:r w:rsidR="0033154C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Pamukkale</w:t>
      </w:r>
      <w:proofErr w:type="spellEnd"/>
      <w:r w:rsidR="0033154C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(</w:t>
      </w:r>
      <w:proofErr w:type="gramEnd"/>
      <w:r w:rsidR="0033154C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610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km).  En el </w:t>
      </w:r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trayecto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parada para visitar el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Caravanserail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de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Sultanhan</w:t>
      </w:r>
      <w:proofErr w:type="spellEnd"/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posada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Selyúcida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de la era medieval. Continuación para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Pamukkale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Tiempo libre en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Pamukkale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“Castillo de Algodón”, único en el mundo con sus piscinas naturales de aguas termales calizas y las cascadas petrificadas de travertino.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7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PAMUKKALE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-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EFESO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-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ESMIRNA  </w:t>
      </w:r>
    </w:p>
    <w:p w:rsidR="00126AD4" w:rsidRPr="0033154C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Salida para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Selçuk-Efeso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(200 km</w:t>
      </w:r>
      <w:r w:rsidR="0033154C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). Llegada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visita al área arqueológica de Éfeso, ciudad dedicada a Artemisa. El Odeón, el Templo de Adriano, la Casa de Amor, la Biblioteca de Celso, el Ágora, la calle de Mármol y el Teatro más grande de la antigüedad. Visita a la Casa de la Virgen, supuesta última morada de la Madre de Jesús. Parada en un centro de producción de cuero y continuación para İzmir-Esmirna (~85 km.), la tercera ciudad más grande de Turquía.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alojamiento.</w:t>
      </w:r>
    </w:p>
    <w:p w:rsidR="00B57683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8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ESMIRNA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– 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PERGAMO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– 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TRO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- 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ÇANAKKALE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="00064B7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Salida p</w:t>
      </w:r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ara </w:t>
      </w:r>
      <w:proofErr w:type="spellStart"/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Pergamo</w:t>
      </w:r>
      <w:proofErr w:type="spellEnd"/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la actual </w:t>
      </w:r>
      <w:proofErr w:type="spellStart"/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Bergama</w:t>
      </w:r>
      <w:proofErr w:type="spellEnd"/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(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110 km). Llegada y visita a las ruinas del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Asclepión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que fue el hospital el </w:t>
      </w:r>
      <w:r w:rsidR="00B57683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más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importante de Asia Menor, con su centro terapéutico. Continuación pa</w:t>
      </w:r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ra Troya (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190 km.). Visita a la famosa ciudad arqueológica de la historia que evoca el nombre poético de la saga Ilíada de Homero</w:t>
      </w:r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. Continuación para Çanakkale (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25 km.).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Cena y alojamiento.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9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ÇANAKKALE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-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BURSA 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-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ESTAMBUL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="00064B7C"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.</w:t>
      </w:r>
      <w:r w:rsidR="00064B7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Salida para Bursa (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270 km) que </w:t>
      </w:r>
      <w:r w:rsidR="00F634C6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fue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la primera capital del İmperio Otomano entre 1326 y 1364. Visitas de la medieval Mezquita Mayor ‘Ulu 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Camii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’, el famoso Bazar da Seda ‘</w:t>
      </w:r>
      <w:proofErr w:type="spellStart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Koza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Han’ y el Mausoleo Verde. Continuación pa</w:t>
      </w:r>
      <w:r w:rsidR="008D0DD9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>ra Estambul (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150 km.). </w:t>
      </w: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 </w:t>
      </w:r>
    </w:p>
    <w:p w:rsidR="00126AD4" w:rsidRPr="00843CA1" w:rsidRDefault="00126AD4" w:rsidP="00126AD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</w:p>
    <w:p w:rsidR="008D0DD9" w:rsidRPr="00843CA1" w:rsidRDefault="00126AD4" w:rsidP="00126A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>DÍA</w:t>
      </w:r>
      <w:r w:rsidR="00B57683"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10</w:t>
      </w:r>
      <w:r w:rsidR="0033154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43C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ESTAMBUL </w:t>
      </w:r>
    </w:p>
    <w:p w:rsidR="00D30FF5" w:rsidRPr="00843CA1" w:rsidRDefault="00F33BD5" w:rsidP="00D30FF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33154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A la hora indicada traslado al aeropuerto </w:t>
      </w:r>
      <w:r w:rsidR="00D30FF5"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Internacional </w:t>
      </w:r>
      <w:proofErr w:type="spellStart"/>
      <w:r w:rsidR="00D30FF5" w:rsidRPr="00843CA1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 </w:t>
      </w:r>
      <w:r w:rsidR="00030C12" w:rsidRPr="00030C12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Fin de los servicios</w:t>
      </w:r>
      <w:r w:rsidR="00030C12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:rsidR="00030C12" w:rsidRDefault="00030C12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7772DE" w:rsidRPr="00843CA1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43C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</w:t>
      </w:r>
      <w:r w:rsidR="00030C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UÍ</w:t>
      </w:r>
      <w:r w:rsidRPr="00843C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:rsidR="00E76A60" w:rsidRPr="00843CA1" w:rsidRDefault="00E76A60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Pr="00843CA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43CA1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3 noches de alojamiento en el hotel en Estambul con desayuno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1 noche de alojamiento en el hotel en Ankara con desayuno y cena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2 noches de alojamiento en el hotel en Capadocia con desayuno y cena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1 noche de alojamiento en el hotel en </w:t>
      </w:r>
      <w:proofErr w:type="spellStart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Pamukkale</w:t>
      </w:r>
      <w:proofErr w:type="spellEnd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1 noche de alojamiento en el hotel en Esmirna con desayuno y cena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1 noche de alojamiento en el hotel en </w:t>
      </w:r>
      <w:proofErr w:type="spellStart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Canakkale</w:t>
      </w:r>
      <w:proofErr w:type="spellEnd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 </w:t>
      </w:r>
    </w:p>
    <w:p w:rsidR="008D0DD9" w:rsidRPr="00621B87" w:rsidRDefault="008D0DD9" w:rsidP="008D0DD9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iCs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Internacional </w:t>
      </w:r>
      <w:proofErr w:type="spellStart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 – hotel – aeropuerto Internacional </w:t>
      </w:r>
      <w:proofErr w:type="spellStart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Pr="00621B87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APLICA SUPLEMENTOS por traslados desde y hacia el Aeropuerto Internacional </w:t>
      </w:r>
      <w:proofErr w:type="spellStart"/>
      <w:r w:rsidRPr="00621B87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Sabiha</w:t>
      </w:r>
      <w:proofErr w:type="spellEnd"/>
      <w:r w:rsidRPr="00621B87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</w:t>
      </w:r>
      <w:proofErr w:type="spellStart"/>
      <w:r w:rsidRPr="00621B87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Gökçen</w:t>
      </w:r>
      <w:proofErr w:type="spellEnd"/>
      <w:r w:rsidRPr="00621B87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. FAVOR DE CONSULTAR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Todos los traslados en servicio compartido con asistencia  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Guía local de habla hispana para todas las visitas indicadas en el programa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Régimen según programa 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Visitas con entradas incluidas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IVA </w:t>
      </w:r>
    </w:p>
    <w:p w:rsidR="008D0DD9" w:rsidRPr="00843CA1" w:rsidRDefault="008D0DD9" w:rsidP="008D0D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Trayectos en minibús o bus con </w:t>
      </w:r>
      <w:r w:rsidR="00621B87">
        <w:rPr>
          <w:rFonts w:ascii="Arial" w:eastAsia="Calibri" w:hAnsi="Arial" w:cs="Arial"/>
          <w:sz w:val="20"/>
          <w:szCs w:val="20"/>
          <w:lang w:val="es-MX" w:eastAsia="es-MX"/>
        </w:rPr>
        <w:t>aire acondicionado</w:t>
      </w: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, en función del número de pasajeros, con capacidad controlada y previamente sanitizados.</w:t>
      </w:r>
    </w:p>
    <w:bookmarkEnd w:id="0"/>
    <w:p w:rsidR="00EF309A" w:rsidRDefault="00EF309A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30FF5" w:rsidRPr="00843CA1" w:rsidRDefault="00621B8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843CA1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843CA1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Estambul – México </w:t>
      </w:r>
    </w:p>
    <w:p w:rsidR="00386E61" w:rsidRPr="00843CA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:rsidR="00386E61" w:rsidRPr="00843CA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:rsidR="00386E61" w:rsidRPr="00843CA1" w:rsidRDefault="00182C6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Seguro de viaje</w:t>
      </w:r>
    </w:p>
    <w:p w:rsidR="00D30FF5" w:rsidRPr="00843CA1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:rsidR="00D30FF5" w:rsidRPr="00843CA1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pagaderas directamente a cada hotel  </w:t>
      </w:r>
    </w:p>
    <w:p w:rsidR="008D0DD9" w:rsidRPr="00843CA1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a choferes y guías: </w:t>
      </w:r>
      <w:r w:rsidR="0018195C" w:rsidRPr="0018195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USD</w:t>
      </w:r>
      <w:r w:rsidRPr="0018195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18195C" w:rsidRPr="0018195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5</w:t>
      </w:r>
      <w:r w:rsidRPr="0018195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0 por persona</w:t>
      </w: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Pr="00030C12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Obligatorio pago en destino</w:t>
      </w:r>
      <w:r w:rsidR="00491040" w:rsidRPr="00030C12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a la llegada</w:t>
      </w:r>
      <w:r w:rsidRPr="00843CA1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:rsidR="002F131B" w:rsidRPr="00843CA1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DF3D2A" w:rsidRPr="00843CA1" w:rsidRDefault="00DF3D2A" w:rsidP="00EE4633">
      <w:pPr>
        <w:pStyle w:val="Sinespaciado"/>
        <w:jc w:val="both"/>
        <w:rPr>
          <w:rFonts w:ascii="Arial" w:hAnsi="Arial" w:cs="Arial"/>
          <w:b/>
          <w:lang w:val="es-MX"/>
        </w:rPr>
      </w:pPr>
      <w:bookmarkStart w:id="1" w:name="_Hlk41913674"/>
      <w:r w:rsidRPr="00843CA1">
        <w:rPr>
          <w:rFonts w:ascii="Arial" w:hAnsi="Arial" w:cs="Arial"/>
          <w:b/>
          <w:lang w:val="es-MX"/>
        </w:rPr>
        <w:t>Notas</w:t>
      </w:r>
      <w:r w:rsidR="00EE4633" w:rsidRPr="00843CA1">
        <w:rPr>
          <w:rFonts w:ascii="Arial" w:hAnsi="Arial" w:cs="Arial"/>
          <w:b/>
          <w:lang w:val="es-MX"/>
        </w:rPr>
        <w:t xml:space="preserve"> </w:t>
      </w:r>
      <w:r w:rsidRPr="00843CA1">
        <w:rPr>
          <w:rFonts w:ascii="Arial" w:hAnsi="Arial" w:cs="Arial"/>
          <w:b/>
          <w:lang w:val="es-MX"/>
        </w:rPr>
        <w:t>Importantes:</w:t>
      </w:r>
    </w:p>
    <w:p w:rsidR="00DF3D2A" w:rsidRPr="00843CA1" w:rsidRDefault="00DF3D2A" w:rsidP="00DF3D2A">
      <w:pPr>
        <w:jc w:val="both"/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  <w:lang w:val="en-US"/>
        </w:rPr>
      </w:pPr>
    </w:p>
    <w:p w:rsidR="00DF3D2A" w:rsidRPr="00843CA1" w:rsidRDefault="00DF3D2A" w:rsidP="00431235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333333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:rsidR="00DA3E38" w:rsidRPr="00843CA1" w:rsidRDefault="00DA3E38" w:rsidP="00EE4633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333333"/>
          <w:sz w:val="20"/>
          <w:szCs w:val="20"/>
          <w:lang w:val="es-MX" w:eastAsia="es-MX"/>
        </w:rPr>
      </w:pPr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>Atatürk</w:t>
      </w:r>
      <w:proofErr w:type="spellEnd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>Sabiha</w:t>
      </w:r>
      <w:proofErr w:type="spellEnd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</w:t>
      </w:r>
      <w:proofErr w:type="spellStart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>Gökçen</w:t>
      </w:r>
      <w:proofErr w:type="spellEnd"/>
      <w:r w:rsidRPr="00843CA1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aplicará suplementos. </w:t>
      </w:r>
    </w:p>
    <w:bookmarkEnd w:id="1"/>
    <w:p w:rsidR="00D374B4" w:rsidRDefault="00D374B4" w:rsidP="00C76924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843CA1" w:rsidRDefault="00843CA1" w:rsidP="00621B87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3910"/>
        <w:gridCol w:w="520"/>
      </w:tblGrid>
      <w:tr w:rsidR="00621B87" w:rsidTr="00621B87">
        <w:trPr>
          <w:trHeight w:val="285"/>
          <w:jc w:val="center"/>
        </w:trPr>
        <w:tc>
          <w:tcPr>
            <w:tcW w:w="593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D7D31" w:fill="0D0D0D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 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ED7D31" w:fill="0D0D0D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ED7D31" w:fill="0D0D0D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CAT.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ESTAMBUL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B87" w:rsidRP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1B8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Ramada Plaza </w:t>
            </w:r>
            <w:proofErr w:type="spellStart"/>
            <w:r w:rsidRPr="00621B8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Tekstilkent</w:t>
            </w:r>
            <w:proofErr w:type="spellEnd"/>
            <w:r w:rsidRPr="00621B8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/ Wish More Hotel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(no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centricos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Radisson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Point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Latanya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CAPADOCIA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Dinler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Avrasya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Perissia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PAMUKKALE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Hierapark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Lycus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River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IZMIR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Blanca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Kaya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Prestige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CANAKKALE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Kolin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Akol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621B87" w:rsidTr="00621B87">
        <w:trPr>
          <w:trHeight w:val="285"/>
          <w:jc w:val="center"/>
        </w:trPr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Contultar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suplemento para hoteles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centricos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491040" w:rsidRDefault="00491040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491040" w:rsidRDefault="00491040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677"/>
        <w:gridCol w:w="1095"/>
      </w:tblGrid>
      <w:tr w:rsidR="00621B87" w:rsidTr="00C825B5">
        <w:trPr>
          <w:trHeight w:val="306"/>
          <w:jc w:val="center"/>
        </w:trPr>
        <w:tc>
          <w:tcPr>
            <w:tcW w:w="6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00000"/>
            <w:noWrap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825B5" w:rsidTr="00C825B5">
        <w:trPr>
          <w:trHeight w:val="306"/>
          <w:jc w:val="center"/>
        </w:trPr>
        <w:tc>
          <w:tcPr>
            <w:tcW w:w="3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7CAAC" w:fill="D9D9D9"/>
            <w:noWrap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7CAAC" w:fill="D9D9D9"/>
            <w:noWrap/>
            <w:vAlign w:val="bottom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DOBLE/TRIPLE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7CAAC" w:fill="D9D9D9"/>
            <w:noWrap/>
            <w:vAlign w:val="bottom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C825B5" w:rsidTr="00C825B5">
        <w:trPr>
          <w:trHeight w:val="30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ENERO 2024 - MARZO 2024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</w:tr>
      <w:tr w:rsidR="00C825B5" w:rsidTr="00C825B5">
        <w:trPr>
          <w:trHeight w:val="30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21B87" w:rsidRDefault="00621B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ABRIL 2024 - NOVIEMBRE 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21B87" w:rsidRDefault="00621B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</w:tr>
      <w:tr w:rsidR="00666016" w:rsidTr="00C825B5">
        <w:trPr>
          <w:trHeight w:val="306"/>
          <w:jc w:val="center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6016" w:rsidRDefault="00666016" w:rsidP="006660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666016" w:rsidTr="00C825B5">
        <w:trPr>
          <w:trHeight w:val="306"/>
          <w:jc w:val="center"/>
        </w:trPr>
        <w:tc>
          <w:tcPr>
            <w:tcW w:w="61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6016" w:rsidRDefault="00666016" w:rsidP="006660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CONGRESOS, EVENTOS ESPECIALES, SEMANA SANTA,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NAVIDAD, FIN DE AÑO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CONSULTAR SUPLEMENTO.</w:t>
            </w:r>
          </w:p>
        </w:tc>
      </w:tr>
      <w:tr w:rsidR="00666016" w:rsidTr="00666016">
        <w:trPr>
          <w:trHeight w:val="306"/>
          <w:jc w:val="center"/>
        </w:trPr>
        <w:tc>
          <w:tcPr>
            <w:tcW w:w="6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66016" w:rsidRDefault="00666016" w:rsidP="0066601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NOVIEMBRE 2024</w:t>
            </w:r>
          </w:p>
        </w:tc>
      </w:tr>
      <w:tr w:rsidR="00621B87" w:rsidTr="00C825B5">
        <w:trPr>
          <w:trHeight w:val="306"/>
          <w:jc w:val="center"/>
        </w:trPr>
        <w:tc>
          <w:tcPr>
            <w:tcW w:w="61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B87" w:rsidRPr="00C825B5" w:rsidRDefault="00621B87" w:rsidP="00C825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25B5">
              <w:rPr>
                <w:rFonts w:ascii="Calibri" w:hAnsi="Calibri" w:cs="Calibri"/>
                <w:color w:val="000000"/>
                <w:sz w:val="20"/>
                <w:szCs w:val="20"/>
              </w:rPr>
              <w:t>Precios pueden variar según los protocolos de seguridad y sanidad por el COVID-19.</w:t>
            </w:r>
          </w:p>
        </w:tc>
      </w:tr>
    </w:tbl>
    <w:p w:rsidR="00643328" w:rsidRDefault="00643328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825B5" w:rsidRDefault="00C825B5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2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615"/>
      </w:tblGrid>
      <w:tr w:rsidR="00C825B5" w:rsidTr="00C825B5">
        <w:trPr>
          <w:trHeight w:val="30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D7D31" w:fill="0D0D0D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SABADOS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D7D31" w:fill="0D0D0D"/>
            <w:noWrap/>
            <w:vAlign w:val="center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SALIDAS REGULARES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D0D0D"/>
            <w:noWrap/>
            <w:vAlign w:val="center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2024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NA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3,31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NA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12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C825B5" w:rsidTr="00C825B5">
        <w:trPr>
          <w:trHeight w:val="30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Temporada alta </w:t>
            </w:r>
          </w:p>
        </w:tc>
      </w:tr>
    </w:tbl>
    <w:p w:rsidR="00EF309A" w:rsidRDefault="00EF309A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491040" w:rsidRDefault="00491040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030C12" w:rsidRDefault="00030C12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030C12" w:rsidRDefault="00030C12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312"/>
      </w:tblGrid>
      <w:tr w:rsidR="00C825B5" w:rsidTr="00C825B5">
        <w:trPr>
          <w:trHeight w:val="32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0D0D0D"/>
            <w:noWrap/>
            <w:vAlign w:val="bottom"/>
            <w:hideMark/>
          </w:tcPr>
          <w:p w:rsidR="00C825B5" w:rsidRDefault="00C825B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</w:t>
            </w:r>
          </w:p>
          <w:p w:rsidR="00C825B5" w:rsidRPr="00C825B5" w:rsidRDefault="00C825B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825B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POR PERSONA EN USD (MINIMO 2 PAX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25B5" w:rsidTr="00C825B5">
        <w:trPr>
          <w:trHeight w:val="32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Dia completo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Bosforo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Sultanahmet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almuerzo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 w:rsidP="009537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</w:tr>
      <w:tr w:rsidR="00C825B5" w:rsidTr="00C825B5">
        <w:trPr>
          <w:trHeight w:val="32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5B5" w:rsidRDefault="00C825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Topkapi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Gran Bazar sin almuerzo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 w:rsidP="009537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25B5" w:rsidTr="00C825B5">
        <w:trPr>
          <w:trHeight w:val="32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5B5" w:rsidRDefault="0003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  <w:r w:rsidR="00C825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Paseo en Globo (no se aceptan niños menores de 5 años) </w:t>
            </w:r>
          </w:p>
          <w:p w:rsidR="00030C12" w:rsidRDefault="0003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Nota: </w:t>
            </w:r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** Precio orientativo desde 230 a 290 EUR, capacidad </w:t>
            </w:r>
            <w:proofErr w:type="spellStart"/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030C12" w:rsidRDefault="0003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 minutos de duración máxima y pick up 4:00 </w:t>
            </w:r>
            <w:proofErr w:type="spellStart"/>
            <w:r w:rsidRPr="00030C12">
              <w:rPr>
                <w:rFonts w:ascii="Calibri" w:hAnsi="Calibri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825B5" w:rsidRDefault="00C825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91040" w:rsidRPr="00030C12" w:rsidRDefault="00030C12" w:rsidP="00C825B5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030C12">
        <w:rPr>
          <w:rFonts w:ascii="Arial" w:eastAsia="Calibri" w:hAnsi="Arial" w:cs="Arial"/>
          <w:b/>
          <w:bCs/>
          <w:sz w:val="20"/>
          <w:szCs w:val="20"/>
          <w:lang w:eastAsia="es-MX"/>
        </w:rPr>
        <w:t>En caso de no operar alguna visita, restaurante cerrado o algún ingreso, se propondrá alternativas equivalentes a las indicadas.</w:t>
      </w:r>
    </w:p>
    <w:p w:rsidR="00491040" w:rsidRPr="00491040" w:rsidRDefault="00491040" w:rsidP="00F634C6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491040" w:rsidRPr="00491040" w:rsidSect="00D44D67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D67" w:rsidRDefault="00D44D67" w:rsidP="000D4B74">
      <w:r>
        <w:separator/>
      </w:r>
    </w:p>
  </w:endnote>
  <w:endnote w:type="continuationSeparator" w:id="0">
    <w:p w:rsidR="00D44D67" w:rsidRDefault="00D44D6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A7B" w:rsidRDefault="00D8198A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9A12A3" wp14:editId="7EC9BF9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8B4D3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D67" w:rsidRDefault="00D44D67" w:rsidP="000D4B74">
      <w:r>
        <w:separator/>
      </w:r>
    </w:p>
  </w:footnote>
  <w:footnote w:type="continuationSeparator" w:id="0">
    <w:p w:rsidR="00D44D67" w:rsidRDefault="00D44D6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E61" w:rsidRPr="00A45D38" w:rsidRDefault="00D8198A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8258522" wp14:editId="2271126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28FE" w:rsidRPr="00EF309A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72"/>
                              <w:szCs w:val="160"/>
                              <w:lang w:val="es-MX"/>
                            </w:rPr>
                          </w:pPr>
                          <w:r w:rsidRPr="00EF309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72"/>
                              <w:szCs w:val="160"/>
                              <w:lang w:val="es-MX"/>
                            </w:rPr>
                            <w:t xml:space="preserve">TURQUÍA </w:t>
                          </w:r>
                          <w:r w:rsidR="005076D1" w:rsidRPr="00EF309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72"/>
                              <w:szCs w:val="160"/>
                              <w:lang w:val="es-MX"/>
                            </w:rPr>
                            <w:t>DE REGALO</w:t>
                          </w:r>
                        </w:p>
                        <w:p w:rsidR="00064B7C" w:rsidRPr="00064B7C" w:rsidRDefault="00064B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064B7C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1697-A202</w:t>
                          </w:r>
                          <w:r w:rsidR="00C43A6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585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:rsidR="00AA28FE" w:rsidRPr="00EF309A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72"/>
                        <w:szCs w:val="160"/>
                        <w:lang w:val="es-MX"/>
                      </w:rPr>
                    </w:pPr>
                    <w:r w:rsidRPr="00EF309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72"/>
                        <w:szCs w:val="160"/>
                        <w:lang w:val="es-MX"/>
                      </w:rPr>
                      <w:t xml:space="preserve">TURQUÍA </w:t>
                    </w:r>
                    <w:r w:rsidR="005076D1" w:rsidRPr="00EF309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72"/>
                        <w:szCs w:val="160"/>
                        <w:lang w:val="es-MX"/>
                      </w:rPr>
                      <w:t>DE REGALO</w:t>
                    </w:r>
                  </w:p>
                  <w:p w:rsidR="00064B7C" w:rsidRPr="00064B7C" w:rsidRDefault="00064B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064B7C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1697-A202</w:t>
                    </w:r>
                    <w:r w:rsidR="00C43A6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6DC34A9" wp14:editId="28DD348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934DF8E" wp14:editId="0C71337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D10146" wp14:editId="062AC37C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DDDE2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88"/>
      </v:shape>
    </w:pict>
  </w:numPicBullet>
  <w:numPicBullet w:numPicBulletId="1">
    <w:pict>
      <v:shape id="_x0000_i104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302821">
    <w:abstractNumId w:val="5"/>
  </w:num>
  <w:num w:numId="2" w16cid:durableId="1013529305">
    <w:abstractNumId w:val="1"/>
  </w:num>
  <w:num w:numId="3" w16cid:durableId="1998723318">
    <w:abstractNumId w:val="7"/>
  </w:num>
  <w:num w:numId="4" w16cid:durableId="439567040">
    <w:abstractNumId w:val="6"/>
  </w:num>
  <w:num w:numId="5" w16cid:durableId="1163081790">
    <w:abstractNumId w:val="4"/>
  </w:num>
  <w:num w:numId="6" w16cid:durableId="686827772">
    <w:abstractNumId w:val="11"/>
  </w:num>
  <w:num w:numId="7" w16cid:durableId="980111762">
    <w:abstractNumId w:val="0"/>
  </w:num>
  <w:num w:numId="8" w16cid:durableId="1207989369">
    <w:abstractNumId w:val="9"/>
  </w:num>
  <w:num w:numId="9" w16cid:durableId="1315257528">
    <w:abstractNumId w:val="10"/>
  </w:num>
  <w:num w:numId="10" w16cid:durableId="115830005">
    <w:abstractNumId w:val="3"/>
  </w:num>
  <w:num w:numId="11" w16cid:durableId="512308888">
    <w:abstractNumId w:val="2"/>
  </w:num>
  <w:num w:numId="12" w16cid:durableId="315188055">
    <w:abstractNumId w:val="12"/>
  </w:num>
  <w:num w:numId="13" w16cid:durableId="360714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12FEB"/>
    <w:rsid w:val="00030C12"/>
    <w:rsid w:val="000644A2"/>
    <w:rsid w:val="00064B7C"/>
    <w:rsid w:val="00077592"/>
    <w:rsid w:val="00087A3E"/>
    <w:rsid w:val="000A5E1B"/>
    <w:rsid w:val="000A713A"/>
    <w:rsid w:val="000B78A5"/>
    <w:rsid w:val="000D4B74"/>
    <w:rsid w:val="000E0E14"/>
    <w:rsid w:val="00102409"/>
    <w:rsid w:val="001202C0"/>
    <w:rsid w:val="00126AD4"/>
    <w:rsid w:val="00146861"/>
    <w:rsid w:val="00151503"/>
    <w:rsid w:val="0018195C"/>
    <w:rsid w:val="00182C6E"/>
    <w:rsid w:val="001B4B19"/>
    <w:rsid w:val="001B650B"/>
    <w:rsid w:val="001D128E"/>
    <w:rsid w:val="001F0E65"/>
    <w:rsid w:val="001F5EA2"/>
    <w:rsid w:val="001F6E3C"/>
    <w:rsid w:val="0020722E"/>
    <w:rsid w:val="00210321"/>
    <w:rsid w:val="0022746B"/>
    <w:rsid w:val="002276D9"/>
    <w:rsid w:val="00230BC9"/>
    <w:rsid w:val="00243515"/>
    <w:rsid w:val="002447CC"/>
    <w:rsid w:val="002450D3"/>
    <w:rsid w:val="00266C66"/>
    <w:rsid w:val="00275AEF"/>
    <w:rsid w:val="00281CC3"/>
    <w:rsid w:val="00284D1E"/>
    <w:rsid w:val="002D4046"/>
    <w:rsid w:val="002D46C0"/>
    <w:rsid w:val="002D4A46"/>
    <w:rsid w:val="002D4F83"/>
    <w:rsid w:val="002E20A5"/>
    <w:rsid w:val="002F0289"/>
    <w:rsid w:val="002F131B"/>
    <w:rsid w:val="0030660D"/>
    <w:rsid w:val="00307408"/>
    <w:rsid w:val="00322AC6"/>
    <w:rsid w:val="00324962"/>
    <w:rsid w:val="0032537C"/>
    <w:rsid w:val="00327786"/>
    <w:rsid w:val="0033154C"/>
    <w:rsid w:val="003457CE"/>
    <w:rsid w:val="003565EE"/>
    <w:rsid w:val="00362545"/>
    <w:rsid w:val="00365535"/>
    <w:rsid w:val="00386E61"/>
    <w:rsid w:val="00391009"/>
    <w:rsid w:val="003A267D"/>
    <w:rsid w:val="003A6C05"/>
    <w:rsid w:val="003B0250"/>
    <w:rsid w:val="003E1BF0"/>
    <w:rsid w:val="003E6F0A"/>
    <w:rsid w:val="00425F2C"/>
    <w:rsid w:val="00431235"/>
    <w:rsid w:val="00461CA4"/>
    <w:rsid w:val="004740DE"/>
    <w:rsid w:val="00481E45"/>
    <w:rsid w:val="00482E9E"/>
    <w:rsid w:val="00483261"/>
    <w:rsid w:val="00490CE1"/>
    <w:rsid w:val="00491040"/>
    <w:rsid w:val="004B0F54"/>
    <w:rsid w:val="004B1D3E"/>
    <w:rsid w:val="004B5918"/>
    <w:rsid w:val="004B6705"/>
    <w:rsid w:val="005076D1"/>
    <w:rsid w:val="005079AD"/>
    <w:rsid w:val="00513305"/>
    <w:rsid w:val="00521688"/>
    <w:rsid w:val="005259F4"/>
    <w:rsid w:val="0053769E"/>
    <w:rsid w:val="00545CA5"/>
    <w:rsid w:val="00551A63"/>
    <w:rsid w:val="00552FE2"/>
    <w:rsid w:val="00567CCE"/>
    <w:rsid w:val="00576949"/>
    <w:rsid w:val="00584E25"/>
    <w:rsid w:val="00593044"/>
    <w:rsid w:val="00595BFB"/>
    <w:rsid w:val="005A4824"/>
    <w:rsid w:val="005C6821"/>
    <w:rsid w:val="0061702D"/>
    <w:rsid w:val="00621B87"/>
    <w:rsid w:val="006325B9"/>
    <w:rsid w:val="00643328"/>
    <w:rsid w:val="0065253E"/>
    <w:rsid w:val="00653DC0"/>
    <w:rsid w:val="00666016"/>
    <w:rsid w:val="00671FF6"/>
    <w:rsid w:val="006753CB"/>
    <w:rsid w:val="00691FD3"/>
    <w:rsid w:val="006A4F6E"/>
    <w:rsid w:val="006B7E55"/>
    <w:rsid w:val="006C645F"/>
    <w:rsid w:val="006D1265"/>
    <w:rsid w:val="006F7303"/>
    <w:rsid w:val="0070586B"/>
    <w:rsid w:val="007061FB"/>
    <w:rsid w:val="007213F1"/>
    <w:rsid w:val="0074476C"/>
    <w:rsid w:val="00761926"/>
    <w:rsid w:val="007661B4"/>
    <w:rsid w:val="00766A72"/>
    <w:rsid w:val="00772E37"/>
    <w:rsid w:val="007772DE"/>
    <w:rsid w:val="00780DA0"/>
    <w:rsid w:val="00787154"/>
    <w:rsid w:val="007D43AF"/>
    <w:rsid w:val="007D4725"/>
    <w:rsid w:val="007D5712"/>
    <w:rsid w:val="007F0CE8"/>
    <w:rsid w:val="007F267C"/>
    <w:rsid w:val="007F57C0"/>
    <w:rsid w:val="0081537B"/>
    <w:rsid w:val="008238BF"/>
    <w:rsid w:val="0083663A"/>
    <w:rsid w:val="00843CA1"/>
    <w:rsid w:val="008459CB"/>
    <w:rsid w:val="00851DB8"/>
    <w:rsid w:val="00851FF4"/>
    <w:rsid w:val="00857072"/>
    <w:rsid w:val="008639D8"/>
    <w:rsid w:val="00870FB6"/>
    <w:rsid w:val="008B1270"/>
    <w:rsid w:val="008B18A1"/>
    <w:rsid w:val="008B3845"/>
    <w:rsid w:val="008D0DD9"/>
    <w:rsid w:val="009004BE"/>
    <w:rsid w:val="00907E96"/>
    <w:rsid w:val="00913D9F"/>
    <w:rsid w:val="00914E7F"/>
    <w:rsid w:val="0092085C"/>
    <w:rsid w:val="00932A7B"/>
    <w:rsid w:val="00946CBE"/>
    <w:rsid w:val="00972428"/>
    <w:rsid w:val="00972C70"/>
    <w:rsid w:val="009918FD"/>
    <w:rsid w:val="009A38C0"/>
    <w:rsid w:val="009C204E"/>
    <w:rsid w:val="009C6C07"/>
    <w:rsid w:val="009D163F"/>
    <w:rsid w:val="009F18D5"/>
    <w:rsid w:val="009F1EF1"/>
    <w:rsid w:val="009F5717"/>
    <w:rsid w:val="00A007A7"/>
    <w:rsid w:val="00A206E3"/>
    <w:rsid w:val="00A328F5"/>
    <w:rsid w:val="00A4361C"/>
    <w:rsid w:val="00A45D38"/>
    <w:rsid w:val="00A57DA9"/>
    <w:rsid w:val="00A61092"/>
    <w:rsid w:val="00A67F94"/>
    <w:rsid w:val="00A80B5F"/>
    <w:rsid w:val="00AA28FE"/>
    <w:rsid w:val="00AB34A7"/>
    <w:rsid w:val="00AB707F"/>
    <w:rsid w:val="00AC59A0"/>
    <w:rsid w:val="00AD3A09"/>
    <w:rsid w:val="00AE75FE"/>
    <w:rsid w:val="00B040DA"/>
    <w:rsid w:val="00B05E0C"/>
    <w:rsid w:val="00B1776F"/>
    <w:rsid w:val="00B3014C"/>
    <w:rsid w:val="00B466CF"/>
    <w:rsid w:val="00B56319"/>
    <w:rsid w:val="00B57683"/>
    <w:rsid w:val="00B607B2"/>
    <w:rsid w:val="00B63F69"/>
    <w:rsid w:val="00B654D4"/>
    <w:rsid w:val="00B6738D"/>
    <w:rsid w:val="00B7194C"/>
    <w:rsid w:val="00B93F40"/>
    <w:rsid w:val="00BC1D67"/>
    <w:rsid w:val="00BC7DBE"/>
    <w:rsid w:val="00BD16B0"/>
    <w:rsid w:val="00BD196C"/>
    <w:rsid w:val="00BE2C65"/>
    <w:rsid w:val="00C16BC8"/>
    <w:rsid w:val="00C17BCB"/>
    <w:rsid w:val="00C20C5A"/>
    <w:rsid w:val="00C319E9"/>
    <w:rsid w:val="00C332E4"/>
    <w:rsid w:val="00C374D1"/>
    <w:rsid w:val="00C43A64"/>
    <w:rsid w:val="00C65ECC"/>
    <w:rsid w:val="00C76924"/>
    <w:rsid w:val="00C825B5"/>
    <w:rsid w:val="00CB7952"/>
    <w:rsid w:val="00CC3390"/>
    <w:rsid w:val="00CD7F28"/>
    <w:rsid w:val="00CE7DD4"/>
    <w:rsid w:val="00CF1474"/>
    <w:rsid w:val="00D21D57"/>
    <w:rsid w:val="00D2489F"/>
    <w:rsid w:val="00D30FF5"/>
    <w:rsid w:val="00D374B4"/>
    <w:rsid w:val="00D433F2"/>
    <w:rsid w:val="00D44D67"/>
    <w:rsid w:val="00D52FD6"/>
    <w:rsid w:val="00D55FB0"/>
    <w:rsid w:val="00D6619A"/>
    <w:rsid w:val="00D704DE"/>
    <w:rsid w:val="00D76DEC"/>
    <w:rsid w:val="00D8198A"/>
    <w:rsid w:val="00DA3E38"/>
    <w:rsid w:val="00DA4AD1"/>
    <w:rsid w:val="00DA5651"/>
    <w:rsid w:val="00DA6165"/>
    <w:rsid w:val="00DA78DF"/>
    <w:rsid w:val="00DB51A1"/>
    <w:rsid w:val="00DB70C6"/>
    <w:rsid w:val="00DD0D13"/>
    <w:rsid w:val="00DD2FA9"/>
    <w:rsid w:val="00DE04BE"/>
    <w:rsid w:val="00DE546D"/>
    <w:rsid w:val="00DF3D2A"/>
    <w:rsid w:val="00E118C0"/>
    <w:rsid w:val="00E634F1"/>
    <w:rsid w:val="00E63A7A"/>
    <w:rsid w:val="00E76A60"/>
    <w:rsid w:val="00E82E1B"/>
    <w:rsid w:val="00E86B66"/>
    <w:rsid w:val="00E90844"/>
    <w:rsid w:val="00EB17C1"/>
    <w:rsid w:val="00EC3F09"/>
    <w:rsid w:val="00EC63E4"/>
    <w:rsid w:val="00ED1AC6"/>
    <w:rsid w:val="00ED7C08"/>
    <w:rsid w:val="00EE4633"/>
    <w:rsid w:val="00EE48D0"/>
    <w:rsid w:val="00EF309A"/>
    <w:rsid w:val="00F1356C"/>
    <w:rsid w:val="00F22330"/>
    <w:rsid w:val="00F33BD5"/>
    <w:rsid w:val="00F610FC"/>
    <w:rsid w:val="00F634C6"/>
    <w:rsid w:val="00F74BEB"/>
    <w:rsid w:val="00F86B72"/>
    <w:rsid w:val="00F876C3"/>
    <w:rsid w:val="00F907C7"/>
    <w:rsid w:val="00FC1733"/>
    <w:rsid w:val="00FC5911"/>
    <w:rsid w:val="00FD2E31"/>
    <w:rsid w:val="00FD3695"/>
    <w:rsid w:val="00FF41BD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A5DD"/>
  <w15:docId w15:val="{8F06B389-B4C0-45EA-843F-E8C14E5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Breatriz Rosas Gutierrez</cp:lastModifiedBy>
  <cp:revision>1</cp:revision>
  <dcterms:created xsi:type="dcterms:W3CDTF">2024-01-29T21:19:00Z</dcterms:created>
  <dcterms:modified xsi:type="dcterms:W3CDTF">2024-01-29T21:19:00Z</dcterms:modified>
</cp:coreProperties>
</file>