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Default="00B452C3" w:rsidP="008C2581">
      <w:pPr>
        <w:tabs>
          <w:tab w:val="left" w:pos="3402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Vancouver y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Whistler</w:t>
      </w:r>
      <w:proofErr w:type="spellEnd"/>
    </w:p>
    <w:p w:rsidR="009F3A99" w:rsidRDefault="009F3A99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B452C3" w:rsidRDefault="00B452C3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noProof/>
          <w:lang w:val="es-MX"/>
        </w:rPr>
        <w:drawing>
          <wp:anchor distT="0" distB="0" distL="114300" distR="114300" simplePos="0" relativeHeight="251662336" behindDoc="1" locked="0" layoutInCell="1" allowOverlap="1" wp14:anchorId="4A29EC8A" wp14:editId="45645548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1757045" cy="399415"/>
            <wp:effectExtent l="0" t="0" r="0" b="635"/>
            <wp:wrapTight wrapText="bothSides">
              <wp:wrapPolygon edited="0">
                <wp:start x="0" y="0"/>
                <wp:lineTo x="0" y="20604"/>
                <wp:lineTo x="21311" y="20604"/>
                <wp:lineTo x="21311" y="0"/>
                <wp:lineTo x="0" y="0"/>
              </wp:wrapPolygon>
            </wp:wrapTight>
            <wp:docPr id="3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7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00000000-0008-0000-07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399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660" w:rsidRPr="00B452C3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1D1FC0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C2581" w:rsidRPr="00B452C3">
        <w:rPr>
          <w:rFonts w:ascii="Arial" w:hAnsi="Arial" w:cs="Arial"/>
          <w:b/>
          <w:bCs/>
          <w:sz w:val="20"/>
          <w:szCs w:val="20"/>
          <w:lang w:val="es-MX"/>
        </w:rPr>
        <w:t>6</w:t>
      </w:r>
      <w:r w:rsidR="001D1FC0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</w:p>
    <w:p w:rsidR="001D1FC0" w:rsidRPr="00B452C3" w:rsidRDefault="00E54233" w:rsidP="00B9410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B452C3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1D1FC0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A05C1" w:rsidRPr="00B452C3">
        <w:rPr>
          <w:rFonts w:ascii="Arial" w:hAnsi="Arial" w:cs="Arial"/>
          <w:b/>
          <w:bCs/>
          <w:sz w:val="20"/>
          <w:szCs w:val="20"/>
          <w:lang w:val="es-MX"/>
        </w:rPr>
        <w:t>D</w:t>
      </w:r>
      <w:r w:rsidR="00B94106" w:rsidRPr="00B452C3">
        <w:rPr>
          <w:rFonts w:ascii="Arial" w:hAnsi="Arial" w:cs="Arial"/>
          <w:b/>
          <w:bCs/>
          <w:sz w:val="20"/>
          <w:szCs w:val="20"/>
          <w:lang w:val="es-MX"/>
        </w:rPr>
        <w:t>iarias,</w:t>
      </w:r>
      <w:r w:rsidR="00BA0647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8C2581" w:rsidRPr="00B452C3">
        <w:rPr>
          <w:rFonts w:ascii="Arial" w:hAnsi="Arial" w:cs="Arial"/>
          <w:b/>
          <w:bCs/>
          <w:sz w:val="20"/>
          <w:szCs w:val="20"/>
          <w:lang w:val="es-MX"/>
        </w:rPr>
        <w:t>01</w:t>
      </w:r>
      <w:r w:rsidR="00C83F15">
        <w:rPr>
          <w:rFonts w:ascii="Arial" w:hAnsi="Arial" w:cs="Arial"/>
          <w:b/>
          <w:bCs/>
          <w:sz w:val="20"/>
          <w:szCs w:val="20"/>
          <w:lang w:val="es-MX"/>
        </w:rPr>
        <w:t xml:space="preserve"> de</w:t>
      </w:r>
      <w:r w:rsidR="008C2581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mayo al 31 de octubre</w:t>
      </w:r>
      <w:r w:rsidR="00BA0647" w:rsidRPr="00B452C3">
        <w:rPr>
          <w:rFonts w:ascii="Arial" w:hAnsi="Arial" w:cs="Arial"/>
          <w:b/>
          <w:bCs/>
          <w:sz w:val="20"/>
          <w:szCs w:val="20"/>
          <w:lang w:val="es-MX"/>
        </w:rPr>
        <w:t xml:space="preserve"> 202</w:t>
      </w:r>
      <w:r w:rsidR="00230903">
        <w:rPr>
          <w:rFonts w:ascii="Arial" w:hAnsi="Arial" w:cs="Arial"/>
          <w:b/>
          <w:bCs/>
          <w:sz w:val="20"/>
          <w:szCs w:val="20"/>
          <w:lang w:val="es-MX"/>
        </w:rPr>
        <w:t>4</w:t>
      </w:r>
    </w:p>
    <w:p w:rsidR="007A77DC" w:rsidRPr="00B452C3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AA05C1" w:rsidRPr="00B452C3" w:rsidRDefault="00AA05C1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Pr="00B452C3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Día 1.- Vancouver</w:t>
      </w:r>
    </w:p>
    <w:p w:rsidR="00D013E2" w:rsidRPr="00B452C3" w:rsidRDefault="008C2581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Traslado de llegada y entrega de documentación. </w:t>
      </w:r>
      <w:r w:rsidR="00D013E2"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Día 2.- Vancouver</w:t>
      </w:r>
    </w:p>
    <w:p w:rsidR="00D013E2" w:rsidRPr="00B452C3" w:rsidRDefault="008C2581" w:rsidP="00D013E2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Tour de Ciudad de Vancouver </w:t>
      </w:r>
      <w:r w:rsidRPr="00E03A5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(</w:t>
      </w:r>
      <w:r w:rsidR="00E03A5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>i</w:t>
      </w:r>
      <w:r w:rsidRPr="00E03A5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ncluido).  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Comenzamos el tour por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Yaletown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, para pasar al exótico Chinatown, el más grande de Canadá. A pocos minutos de allí, llegamos al barrio más antiguo de la ciudad, el entrañable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Gastown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, con un original reloj de vapor y las pequeñas tiendas, galerías y restaurantes de primera categoría. La terminal de cruceros a Alaska, </w:t>
      </w:r>
      <w:r w:rsidR="00B452C3" w:rsidRPr="00B452C3">
        <w:rPr>
          <w:rFonts w:ascii="Arial" w:hAnsi="Arial" w:cs="Arial"/>
          <w:sz w:val="20"/>
          <w:szCs w:val="20"/>
          <w:lang w:val="es-MX"/>
        </w:rPr>
        <w:t>Canadá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 Place, se ha convertido en un símbolo de la ciudad con su techo blanco en forma de cinco velas. A unos minutos del puerto llegamos a Stanley Park, ofreciéndonos una maravillosa vista de la bahía, de la ciudad y de las Montañas Costeras. Paramos para sacar fotos de unos auténticos tótems indígenas. A la salida del parque podemos observar la playa de English Bay, siguiendo el paseo hasta el Puente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Burrard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.  Entraremos a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Granville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Island con su artesanía local y el ambiente marinero en el pequeño puerto deportivo. </w:t>
      </w:r>
      <w:r w:rsidR="00D013E2"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Día 3.- Vancouver</w:t>
      </w:r>
      <w:r w:rsidR="008C2581" w:rsidRPr="00B452C3">
        <w:rPr>
          <w:rFonts w:ascii="Arial" w:hAnsi="Arial" w:cs="Arial"/>
          <w:b/>
          <w:bCs/>
          <w:lang w:val="es-MX"/>
        </w:rPr>
        <w:t xml:space="preserve"> – </w:t>
      </w:r>
      <w:proofErr w:type="spellStart"/>
      <w:r w:rsidR="008C2581" w:rsidRPr="00B452C3">
        <w:rPr>
          <w:rFonts w:ascii="Arial" w:hAnsi="Arial" w:cs="Arial"/>
          <w:b/>
          <w:bCs/>
          <w:lang w:val="es-MX"/>
        </w:rPr>
        <w:t>Whistler</w:t>
      </w:r>
      <w:proofErr w:type="spellEnd"/>
      <w:r w:rsidR="008C2581" w:rsidRPr="00B452C3">
        <w:rPr>
          <w:rFonts w:ascii="Arial" w:hAnsi="Arial" w:cs="Arial"/>
          <w:b/>
          <w:bCs/>
          <w:lang w:val="es-MX"/>
        </w:rPr>
        <w:t xml:space="preserve"> </w:t>
      </w:r>
    </w:p>
    <w:p w:rsidR="00D013E2" w:rsidRPr="00B452C3" w:rsidRDefault="00E03A5D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E03A5D">
        <w:rPr>
          <w:rFonts w:ascii="Arial" w:hAnsi="Arial" w:cs="Arial"/>
          <w:sz w:val="20"/>
          <w:szCs w:val="20"/>
          <w:lang w:val="es-MX"/>
        </w:rPr>
        <w:t xml:space="preserve">Saliendo de Vancouver nos adentraremos en una de las carreteras más reconocidas por su espectacularidad: Sea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to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Sky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Highway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. Haremos la primera parada en las imponentes cascadas Shannon, que, con sus 333 m de caída, son el último escalafón que las gélidas aguas recorren antes de caer al mar. Pasando por el pueblo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Squamish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se levanta majestuoso el monolito de granito más alto de Canadá, el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Stawamus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>, mejor conocido como “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Chief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” de 700 m de altura. Llegamos a la Vila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. Por la tarde sugerimos practicar una de las atracciones más divertidas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>: Zip Trek o tirolinas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(opcional).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sz w:val="20"/>
          <w:szCs w:val="20"/>
          <w:lang w:val="es-MX"/>
        </w:rPr>
        <w:t>Sienta la adrenalina correr por sus venas a lo largo de los 61 metros de altura de estos recorridos cuando alcance velocidades de hasta 80 kilómetros por hora. El deslizamiento en tirolina (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ziplining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) es una actividad que no se puede perder, esta actividad ofrece 10 trayectos para deslizarse y 8 puentes colgantes... no podrán resistirse a esta aventura. Disfrute de los increíbles paisajes mientras practica esta actividad entre las montañas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Blackcomb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. Si la mañana le resultó agotadora podrá relajarse en el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Scandinave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Spa </w:t>
      </w:r>
      <w:r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(opcional),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sz w:val="20"/>
          <w:szCs w:val="20"/>
          <w:lang w:val="es-MX"/>
        </w:rPr>
        <w:t xml:space="preserve">perfecto para relajarse en el corazón de la naturaleza. Rejuvenezca al aire libre de 20.000 pies cuadrados, que está a sólo dos minutos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Village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(desplazamiento por cuenta del cliente). Retírese a este oasis nórdico envuelto de bosques de cedros y abetos a las afueras de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Lost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Lake. Sumérjase en el agua caliente y disfrute de las increíbles vistas de las montañas. Por la noche le recomendamos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Vallea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E03A5D">
        <w:rPr>
          <w:rFonts w:ascii="Arial" w:hAnsi="Arial" w:cs="Arial"/>
          <w:sz w:val="20"/>
          <w:szCs w:val="20"/>
          <w:lang w:val="es-MX"/>
        </w:rPr>
        <w:t>Lumina</w:t>
      </w:r>
      <w:proofErr w:type="spellEnd"/>
      <w:r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incluido en el </w:t>
      </w:r>
      <w:proofErr w:type="spellStart"/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</w:t>
      </w:r>
      <w:r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sz w:val="20"/>
          <w:szCs w:val="20"/>
          <w:lang w:val="es-MX"/>
        </w:rPr>
        <w:t>un</w:t>
      </w:r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E03A5D">
        <w:rPr>
          <w:rFonts w:ascii="Arial" w:hAnsi="Arial" w:cs="Arial"/>
          <w:sz w:val="20"/>
          <w:szCs w:val="20"/>
          <w:lang w:val="es-MX"/>
        </w:rPr>
        <w:t>espectáculo de luz y sonido en mitad del bosque. A medida que nos movemos a través de esta experiencia, abundan las oportunidades para tocar, jugar y relacionarse con el entorno en constante cambio (narración en inglés).</w:t>
      </w:r>
      <w:r w:rsidR="00D013E2"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8C2581" w:rsidRPr="00B452C3" w:rsidRDefault="008C2581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C2581" w:rsidRPr="00B452C3" w:rsidRDefault="008C2581" w:rsidP="008C258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 xml:space="preserve">Día 4.- </w:t>
      </w:r>
      <w:proofErr w:type="spellStart"/>
      <w:r w:rsidRPr="00B452C3">
        <w:rPr>
          <w:rFonts w:ascii="Arial" w:hAnsi="Arial" w:cs="Arial"/>
          <w:b/>
          <w:bCs/>
          <w:lang w:val="es-MX"/>
        </w:rPr>
        <w:t>Whistler</w:t>
      </w:r>
      <w:proofErr w:type="spellEnd"/>
      <w:r w:rsidRPr="00B452C3">
        <w:rPr>
          <w:rFonts w:ascii="Arial" w:hAnsi="Arial" w:cs="Arial"/>
          <w:b/>
          <w:bCs/>
          <w:lang w:val="es-MX"/>
        </w:rPr>
        <w:t xml:space="preserve"> </w:t>
      </w:r>
    </w:p>
    <w:p w:rsidR="00D013E2" w:rsidRPr="00E03A5D" w:rsidRDefault="00265192" w:rsidP="00D013E2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Aproveche la mañana</w:t>
      </w:r>
      <w:r w:rsidRPr="00230903">
        <w:rPr>
          <w:rFonts w:ascii="Arial" w:hAnsi="Arial" w:cs="Arial"/>
          <w:color w:val="FF0000"/>
          <w:sz w:val="20"/>
          <w:szCs w:val="20"/>
          <w:lang w:val="es-MX"/>
        </w:rPr>
        <w:t xml:space="preserve">** 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en una de los teleféricos más panorámicos de Canadá,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Peak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2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Peak</w:t>
      </w:r>
      <w:proofErr w:type="spellEnd"/>
      <w:r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</w:t>
      </w:r>
      <w:r w:rsid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incluido en el </w:t>
      </w:r>
      <w:proofErr w:type="spellStart"/>
      <w:r w:rsid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B452C3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una experiencia de 11 minutos en un teleférico que lo llevará de pico a pico, conectando las montañas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y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Blackcomb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. Con 28 cabinas viajará 4.4 km. a una altura de 415 metros sobre el Arroyo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Fitzsimmons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ofreciéndole el acceso entre una y otra montaña con vistas espectaculares y diversión sin final. Sobre las 4 de la tarde vuelta a Vancouver. </w:t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265192" w:rsidRPr="00B452C3" w:rsidRDefault="00265192" w:rsidP="00D013E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65192" w:rsidRPr="00B452C3" w:rsidRDefault="00265192" w:rsidP="0026519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 xml:space="preserve">Día 5.- Vancouver </w:t>
      </w:r>
    </w:p>
    <w:p w:rsidR="00265192" w:rsidRPr="00B452C3" w:rsidRDefault="00265192" w:rsidP="00265192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sz w:val="20"/>
          <w:szCs w:val="20"/>
          <w:lang w:val="es-MX"/>
        </w:rPr>
        <w:t>Día libre.</w:t>
      </w:r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 Se recomienda hacer como ferry</w:t>
      </w:r>
      <w:r w:rsidR="00E03A5D" w:rsidRPr="00E03A5D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</w:t>
      </w:r>
      <w:r w:rsidR="00E03A5D"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sz w:val="20"/>
          <w:szCs w:val="20"/>
          <w:lang w:val="es-MX"/>
        </w:rPr>
        <w:t>la visita de Victoria. El día empieza con un cómodo viaje de 1.5 horas en el ferry</w:t>
      </w:r>
      <w:r w:rsidR="00E03A5D" w:rsidRPr="00E03A5D">
        <w:rPr>
          <w:rFonts w:ascii="Arial" w:hAnsi="Arial" w:cs="Arial"/>
          <w:color w:val="1F497D" w:themeColor="text2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</w:t>
      </w:r>
      <w:r w:rsidR="00E03A5D"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que nos trasladará a la Isla de Vancouver. Navegaremos entre un archipiélago con pequeñas comunidades, casas de campo, y si tenemos suerte ballenas grises, orcas y focas cerca de nuestra embarcación.  Ya en la isla, nuestra primera visita será a los hermosos Jardines </w:t>
      </w:r>
      <w:proofErr w:type="spellStart"/>
      <w:r w:rsidR="00E03A5D" w:rsidRPr="00E03A5D">
        <w:rPr>
          <w:rFonts w:ascii="Arial" w:hAnsi="Arial" w:cs="Arial"/>
          <w:sz w:val="20"/>
          <w:szCs w:val="20"/>
          <w:lang w:val="es-MX"/>
        </w:rPr>
        <w:t>Butchart</w:t>
      </w:r>
      <w:proofErr w:type="spellEnd"/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Pack),</w:t>
      </w:r>
      <w:r w:rsidR="00E03A5D" w:rsidRPr="00E03A5D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los jardines más famosos de América por su variedad increíble de flores y árboles. Continuaremos hacia el centro de la ciudad, donde tendremos tiempo libre para visitar opcionalmente el Museo Real de la Columbia Británica (opcional) con sus exhibiciones dedicadas a la historia de la provincia y las comunidades indígenas. El Hotel Fairmont </w:t>
      </w:r>
      <w:proofErr w:type="spellStart"/>
      <w:r w:rsidR="00E03A5D" w:rsidRPr="00E03A5D">
        <w:rPr>
          <w:rFonts w:ascii="Arial" w:hAnsi="Arial" w:cs="Arial"/>
          <w:sz w:val="20"/>
          <w:szCs w:val="20"/>
          <w:lang w:val="es-MX"/>
        </w:rPr>
        <w:t>Empress</w:t>
      </w:r>
      <w:proofErr w:type="spellEnd"/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, frente a la bahía, es el edificio más fotografiado en Victoria, y no hay que olvidar el paseo por </w:t>
      </w:r>
      <w:proofErr w:type="spellStart"/>
      <w:r w:rsidR="00E03A5D" w:rsidRPr="00E03A5D">
        <w:rPr>
          <w:rFonts w:ascii="Arial" w:hAnsi="Arial" w:cs="Arial"/>
          <w:sz w:val="20"/>
          <w:szCs w:val="20"/>
          <w:lang w:val="es-MX"/>
        </w:rPr>
        <w:t>Government</w:t>
      </w:r>
      <w:proofErr w:type="spellEnd"/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 Street con tiendas originales mostrando sus productos de origen británico.  Al final de la tarde regreso a Vancouver vía ferry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(incluido en el </w:t>
      </w:r>
      <w:proofErr w:type="spellStart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Travel</w:t>
      </w:r>
      <w:proofErr w:type="spellEnd"/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Shop Pack). </w:t>
      </w:r>
      <w:r w:rsidR="00E03A5D" w:rsidRPr="00E03A5D">
        <w:rPr>
          <w:rFonts w:ascii="Arial" w:hAnsi="Arial" w:cs="Arial"/>
          <w:sz w:val="20"/>
          <w:szCs w:val="20"/>
          <w:lang w:val="es-MX"/>
        </w:rPr>
        <w:t xml:space="preserve">De manera opcional puede contratar su regreso a Vancouver en hidroavión </w:t>
      </w:r>
      <w:r w:rsidR="00E03A5D" w:rsidRPr="00E03A5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(opcional).</w:t>
      </w:r>
      <w:r w:rsidR="00A87AF4" w:rsidRPr="00E03A5D">
        <w:rPr>
          <w:rFonts w:ascii="Arial" w:hAnsi="Arial" w:cs="Arial"/>
          <w:b/>
          <w:bCs/>
          <w:color w:val="1F497D" w:themeColor="text2"/>
          <w:sz w:val="20"/>
          <w:szCs w:val="20"/>
          <w:lang w:val="es-MX"/>
        </w:rPr>
        <w:t xml:space="preserve"> </w:t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265192" w:rsidRPr="00B452C3" w:rsidRDefault="0026519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 xml:space="preserve">Día </w:t>
      </w:r>
      <w:r w:rsidR="008C2581" w:rsidRPr="00B452C3">
        <w:rPr>
          <w:rFonts w:ascii="Arial" w:hAnsi="Arial" w:cs="Arial"/>
          <w:b/>
          <w:bCs/>
          <w:lang w:val="es-MX"/>
        </w:rPr>
        <w:t>6.</w:t>
      </w:r>
      <w:r w:rsidRPr="00B452C3">
        <w:rPr>
          <w:rFonts w:ascii="Arial" w:hAnsi="Arial" w:cs="Arial"/>
          <w:b/>
          <w:bCs/>
          <w:lang w:val="es-MX"/>
        </w:rPr>
        <w:t>-</w:t>
      </w:r>
      <w:r w:rsidR="008C2581" w:rsidRPr="00B452C3">
        <w:rPr>
          <w:rFonts w:ascii="Arial" w:hAnsi="Arial" w:cs="Arial"/>
          <w:b/>
          <w:bCs/>
          <w:lang w:val="es-MX"/>
        </w:rPr>
        <w:t xml:space="preserve"> </w:t>
      </w:r>
      <w:r w:rsidR="00265192" w:rsidRPr="00B452C3">
        <w:rPr>
          <w:rFonts w:ascii="Arial" w:hAnsi="Arial" w:cs="Arial"/>
          <w:b/>
          <w:bCs/>
          <w:lang w:val="es-MX"/>
        </w:rPr>
        <w:t>Vancouver</w:t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A la hora indicada traslado al aeropuerto.</w:t>
      </w:r>
      <w:r w:rsidR="00D27DAB"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r w:rsidRPr="00B452C3">
        <w:rPr>
          <w:rFonts w:ascii="Arial" w:hAnsi="Arial" w:cs="Arial"/>
          <w:b/>
          <w:bCs/>
          <w:sz w:val="20"/>
          <w:szCs w:val="20"/>
          <w:lang w:val="es-MX"/>
        </w:rPr>
        <w:t>Fin de nuestros servicios</w:t>
      </w:r>
      <w:r w:rsidR="00A87AF4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AA05C1" w:rsidRPr="00B452C3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D013E2" w:rsidRPr="00B452C3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A05C1" w:rsidRPr="00B452C3" w:rsidRDefault="00AA05C1" w:rsidP="00AA05C1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SE NECESITA PERMISO ETA PARA VISITAR CANADA</w:t>
      </w:r>
    </w:p>
    <w:p w:rsidR="00D013E2" w:rsidRPr="00B452C3" w:rsidRDefault="00D013E2" w:rsidP="00D013E2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Incluye:</w:t>
      </w:r>
    </w:p>
    <w:p w:rsidR="00D013E2" w:rsidRPr="00B452C3" w:rsidRDefault="0026519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4</w:t>
      </w:r>
      <w:r w:rsidR="00D013E2" w:rsidRPr="00B452C3">
        <w:rPr>
          <w:rFonts w:ascii="Arial" w:hAnsi="Arial" w:cs="Arial"/>
          <w:sz w:val="20"/>
          <w:szCs w:val="20"/>
          <w:lang w:val="es-MX"/>
        </w:rPr>
        <w:t xml:space="preserve"> noches de alojamiento en </w:t>
      </w:r>
      <w:r w:rsidR="008C2581" w:rsidRPr="00B452C3">
        <w:rPr>
          <w:rFonts w:ascii="Arial" w:hAnsi="Arial" w:cs="Arial"/>
          <w:sz w:val="20"/>
          <w:szCs w:val="20"/>
          <w:lang w:val="es-MX"/>
        </w:rPr>
        <w:t xml:space="preserve">Vancouver y </w:t>
      </w:r>
      <w:r w:rsidRPr="00B452C3">
        <w:rPr>
          <w:rFonts w:ascii="Arial" w:hAnsi="Arial" w:cs="Arial"/>
          <w:sz w:val="20"/>
          <w:szCs w:val="20"/>
          <w:lang w:val="es-MX"/>
        </w:rPr>
        <w:t>1</w:t>
      </w:r>
      <w:r w:rsidR="008C2581" w:rsidRPr="00B452C3">
        <w:rPr>
          <w:rFonts w:ascii="Arial" w:hAnsi="Arial" w:cs="Arial"/>
          <w:sz w:val="20"/>
          <w:szCs w:val="20"/>
          <w:lang w:val="es-MX"/>
        </w:rPr>
        <w:t xml:space="preserve"> en </w:t>
      </w:r>
      <w:proofErr w:type="spellStart"/>
      <w:r w:rsidR="008C2581" w:rsidRPr="00B452C3">
        <w:rPr>
          <w:rFonts w:ascii="Arial" w:hAnsi="Arial" w:cs="Arial"/>
          <w:sz w:val="20"/>
          <w:szCs w:val="20"/>
          <w:lang w:val="es-MX"/>
        </w:rPr>
        <w:t>Whistler</w:t>
      </w:r>
      <w:proofErr w:type="spellEnd"/>
      <w:r w:rsidR="008C2581"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r w:rsidR="00D013E2" w:rsidRPr="00B452C3">
        <w:rPr>
          <w:rFonts w:ascii="Arial" w:hAnsi="Arial" w:cs="Arial"/>
          <w:sz w:val="20"/>
          <w:szCs w:val="20"/>
          <w:lang w:val="es-MX"/>
        </w:rPr>
        <w:t>en régimen solo alojamiento</w:t>
      </w:r>
    </w:p>
    <w:p w:rsidR="00D013E2" w:rsidRPr="00B452C3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Traslados de llegada y salida</w:t>
      </w:r>
      <w:r w:rsidR="008C2581"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r w:rsidRPr="00B452C3">
        <w:rPr>
          <w:rFonts w:ascii="Arial" w:hAnsi="Arial" w:cs="Arial"/>
          <w:sz w:val="20"/>
          <w:szCs w:val="20"/>
          <w:lang w:val="es-MX"/>
        </w:rPr>
        <w:t>en servicios regulares vehículos con capacidad contralada y previamente sanitizados</w:t>
      </w:r>
    </w:p>
    <w:p w:rsidR="00D013E2" w:rsidRPr="00B452C3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Visita de ciudad en servicios regulares con guía de habla hispana en servicios regulares vehículos con capacidad contralada y previamente sanitizados</w:t>
      </w:r>
    </w:p>
    <w:p w:rsidR="00D013E2" w:rsidRPr="00B452C3" w:rsidRDefault="00D013E2" w:rsidP="00D013E2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Asistencia de viaje básica</w:t>
      </w:r>
    </w:p>
    <w:p w:rsidR="00D013E2" w:rsidRPr="00B452C3" w:rsidRDefault="00D013E2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AA05C1" w:rsidRPr="00B452C3" w:rsidRDefault="00AA05C1" w:rsidP="00AA05C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452C3">
        <w:rPr>
          <w:rFonts w:ascii="Arial" w:hAnsi="Arial" w:cs="Arial"/>
          <w:b/>
          <w:bCs/>
          <w:lang w:val="es-MX"/>
        </w:rPr>
        <w:t>No incluye:</w:t>
      </w:r>
    </w:p>
    <w:p w:rsidR="00AA05C1" w:rsidRPr="00B452C3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Boleto aéreo</w:t>
      </w:r>
    </w:p>
    <w:p w:rsidR="00AA05C1" w:rsidRPr="00B452C3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AA05C1" w:rsidRPr="00B452C3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AA05C1" w:rsidRPr="00B452C3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AA05C1" w:rsidRPr="00B452C3" w:rsidRDefault="00AA05C1" w:rsidP="00AA05C1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eT</w:t>
      </w:r>
      <w:r w:rsidR="00153A17" w:rsidRPr="00B452C3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 xml:space="preserve"> de ingreso a Canad</w:t>
      </w:r>
      <w:r w:rsidR="00153A17" w:rsidRPr="00B452C3">
        <w:rPr>
          <w:rFonts w:ascii="Arial" w:hAnsi="Arial" w:cs="Arial"/>
          <w:sz w:val="20"/>
          <w:szCs w:val="20"/>
          <w:lang w:val="es-MX"/>
        </w:rPr>
        <w:t>á</w:t>
      </w:r>
    </w:p>
    <w:p w:rsidR="00AA05C1" w:rsidRPr="00B452C3" w:rsidRDefault="00AA05C1" w:rsidP="00AA05C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3402F" w:rsidRPr="00B452C3" w:rsidRDefault="0083402F" w:rsidP="0083402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B452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Se considera menor de </w:t>
      </w:r>
      <w:r w:rsidR="00374FBE">
        <w:rPr>
          <w:rFonts w:ascii="Arial" w:hAnsi="Arial" w:cs="Arial"/>
          <w:sz w:val="20"/>
          <w:szCs w:val="20"/>
          <w:lang w:val="es-MX"/>
        </w:rPr>
        <w:t>0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 a 1</w:t>
      </w:r>
      <w:r w:rsidR="00374FBE">
        <w:rPr>
          <w:rFonts w:ascii="Arial" w:hAnsi="Arial" w:cs="Arial"/>
          <w:sz w:val="20"/>
          <w:szCs w:val="20"/>
          <w:lang w:val="es-MX"/>
        </w:rPr>
        <w:t>4 o 18 años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B452C3">
        <w:rPr>
          <w:rFonts w:ascii="Arial" w:hAnsi="Arial" w:cs="Arial"/>
          <w:sz w:val="20"/>
          <w:szCs w:val="20"/>
          <w:lang w:val="es-MX"/>
        </w:rPr>
        <w:t>años</w:t>
      </w:r>
      <w:proofErr w:type="spellEnd"/>
      <w:r w:rsidRPr="00B452C3">
        <w:rPr>
          <w:rFonts w:ascii="Arial" w:hAnsi="Arial" w:cs="Arial"/>
          <w:sz w:val="20"/>
          <w:szCs w:val="20"/>
          <w:lang w:val="es-MX"/>
        </w:rPr>
        <w:t>.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153A17" w:rsidRPr="00B452C3">
        <w:rPr>
          <w:rFonts w:ascii="Arial" w:hAnsi="Arial" w:cs="Arial"/>
          <w:sz w:val="20"/>
          <w:szCs w:val="20"/>
          <w:lang w:val="es-MX"/>
        </w:rPr>
        <w:t>habitación</w:t>
      </w:r>
      <w:r w:rsidRPr="00B452C3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 xml:space="preserve"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</w:t>
      </w:r>
      <w:hyperlink r:id="rId9" w:history="1">
        <w:r w:rsidR="00265192" w:rsidRPr="00B452C3">
          <w:rPr>
            <w:rStyle w:val="Hipervnculo"/>
            <w:rFonts w:ascii="Arial" w:hAnsi="Arial" w:cs="Arial"/>
            <w:sz w:val="20"/>
            <w:szCs w:val="20"/>
            <w:lang w:val="es-MX"/>
          </w:rPr>
          <w:t>www.canada</w:t>
        </w:r>
      </w:hyperlink>
      <w:r w:rsidRPr="00B452C3">
        <w:rPr>
          <w:rFonts w:ascii="Arial" w:hAnsi="Arial" w:cs="Arial"/>
          <w:sz w:val="20"/>
          <w:szCs w:val="20"/>
          <w:lang w:val="es-MX"/>
        </w:rPr>
        <w:t xml:space="preserve">.ca/eta (descripción </w:t>
      </w:r>
      <w:hyperlink r:id="rId10" w:history="1">
        <w:r w:rsidRPr="00B452C3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http://www.cic.gc.ca/english/visit/eta-facts-es.asp</w:t>
        </w:r>
      </w:hyperlink>
      <w:r w:rsidRPr="00B452C3">
        <w:rPr>
          <w:rFonts w:ascii="Arial" w:hAnsi="Arial" w:cs="Arial"/>
          <w:sz w:val="20"/>
          <w:szCs w:val="20"/>
          <w:lang w:val="es-MX"/>
        </w:rPr>
        <w:t>)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 mismo.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452C3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452C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AA05C1" w:rsidRPr="00B452C3" w:rsidRDefault="00AA05C1" w:rsidP="00AA05C1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452C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tour máximo de 1 maleta por persona. En caso de equipaje adicional costos extras pueden ser cobrados en destino.  </w:t>
      </w:r>
    </w:p>
    <w:p w:rsidR="00DC787F" w:rsidRDefault="00AA05C1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452C3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DC787F" w:rsidRDefault="00DC787F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El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orden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de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las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visitas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se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confirmará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hasta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el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momento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de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la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llegada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a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Vancouver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>.</w:t>
      </w:r>
    </w:p>
    <w:p w:rsidR="00DC787F" w:rsidRDefault="00DC787F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Si el Tour de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Whistler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es en domingo operará incluyendo el teleférico Sea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To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Sky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de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Squamish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y aplica suplemento ($65 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>USD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por persona).</w:t>
      </w:r>
    </w:p>
    <w:p w:rsidR="00DC787F" w:rsidRDefault="00DC787F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/>
        </w:rPr>
        <w:t>L</w:t>
      </w:r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os hoteles de </w:t>
      </w:r>
      <w:proofErr w:type="spellStart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>Whistler</w:t>
      </w:r>
      <w:proofErr w:type="spellEnd"/>
      <w:r w:rsidRPr="00DC787F">
        <w:rPr>
          <w:rFonts w:ascii="Arial" w:hAnsi="Arial" w:cs="Arial"/>
          <w:color w:val="000000"/>
          <w:sz w:val="20"/>
          <w:szCs w:val="20"/>
          <w:lang w:val="es-MX" w:eastAsia="es-ES"/>
        </w:rPr>
        <w:t xml:space="preserve"> exigen mínimo dos noches en viernes y sábado</w:t>
      </w:r>
      <w:r>
        <w:rPr>
          <w:rFonts w:ascii="Arial" w:hAnsi="Arial" w:cs="Arial"/>
          <w:color w:val="000000"/>
          <w:sz w:val="20"/>
          <w:szCs w:val="20"/>
          <w:lang w:val="es-MX" w:eastAsia="es-ES"/>
        </w:rPr>
        <w:t>.</w:t>
      </w:r>
    </w:p>
    <w:p w:rsidR="00DC787F" w:rsidRPr="00230903" w:rsidRDefault="00DC787F" w:rsidP="00DC787F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FF0000"/>
          <w:sz w:val="18"/>
          <w:szCs w:val="18"/>
          <w:lang w:val="es-MX" w:eastAsia="es-ES" w:bidi="ar-SA"/>
        </w:rPr>
      </w:pPr>
      <w:r w:rsidRPr="00230903">
        <w:rPr>
          <w:rFonts w:ascii="Arial" w:hAnsi="Arial" w:cs="Arial"/>
          <w:color w:val="FF0000"/>
          <w:sz w:val="20"/>
          <w:szCs w:val="20"/>
        </w:rPr>
        <w:t xml:space="preserve">**La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mañana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del día de Whistler es libre para los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pasajeros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y el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guía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los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recogerá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alrededor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de las 16:00hrs para </w:t>
      </w:r>
      <w:proofErr w:type="spellStart"/>
      <w:r w:rsidRPr="00230903">
        <w:rPr>
          <w:rFonts w:ascii="Arial" w:hAnsi="Arial" w:cs="Arial"/>
          <w:color w:val="FF0000"/>
          <w:sz w:val="20"/>
          <w:szCs w:val="20"/>
        </w:rPr>
        <w:t>regresar</w:t>
      </w:r>
      <w:proofErr w:type="spellEnd"/>
      <w:r w:rsidRPr="00230903">
        <w:rPr>
          <w:rFonts w:ascii="Arial" w:hAnsi="Arial" w:cs="Arial"/>
          <w:color w:val="FF0000"/>
          <w:sz w:val="20"/>
          <w:szCs w:val="20"/>
        </w:rPr>
        <w:t xml:space="preserve"> a Vancouver.</w:t>
      </w:r>
    </w:p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tbl>
      <w:tblPr>
        <w:tblW w:w="64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2"/>
        <w:gridCol w:w="4168"/>
        <w:gridCol w:w="785"/>
      </w:tblGrid>
      <w:tr w:rsidR="00230903" w:rsidRPr="00230903" w:rsidTr="00230903">
        <w:trPr>
          <w:trHeight w:val="269"/>
          <w:jc w:val="center"/>
        </w:trPr>
        <w:tc>
          <w:tcPr>
            <w:tcW w:w="6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230903" w:rsidRPr="00230903" w:rsidTr="00230903">
        <w:trPr>
          <w:trHeight w:val="269"/>
          <w:jc w:val="center"/>
        </w:trPr>
        <w:tc>
          <w:tcPr>
            <w:tcW w:w="14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230903" w:rsidRPr="00230903" w:rsidTr="00230903">
        <w:trPr>
          <w:trHeight w:val="269"/>
          <w:jc w:val="center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VANCOUVER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FF0000"/>
                <w:lang w:val="es-MX" w:eastAsia="es-MX" w:bidi="ar-SA"/>
              </w:rPr>
              <w:t>SANDMAN VANCOUVER CITY CENTRE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OPC. C</w:t>
            </w:r>
          </w:p>
        </w:tc>
      </w:tr>
      <w:tr w:rsidR="00230903" w:rsidRPr="00230903" w:rsidTr="00230903">
        <w:trPr>
          <w:trHeight w:val="269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70AD47"/>
                <w:lang w:val="es-MX" w:eastAsia="es-MX" w:bidi="ar-SA"/>
              </w:rPr>
              <w:t>GEORGIAN COURT HOTEL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OPC. B</w:t>
            </w:r>
          </w:p>
        </w:tc>
      </w:tr>
      <w:tr w:rsidR="00230903" w:rsidRPr="00230903" w:rsidTr="00230903">
        <w:trPr>
          <w:trHeight w:val="269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4472C4"/>
                <w:lang w:val="es-MX" w:eastAsia="es-MX" w:bidi="ar-SA"/>
              </w:rPr>
              <w:t>THE SUTTON PLACE HOTEL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OPC. A</w:t>
            </w:r>
          </w:p>
        </w:tc>
      </w:tr>
      <w:tr w:rsidR="00230903" w:rsidRPr="00230903" w:rsidTr="00230903">
        <w:trPr>
          <w:trHeight w:val="269"/>
          <w:jc w:val="center"/>
        </w:trPr>
        <w:tc>
          <w:tcPr>
            <w:tcW w:w="14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WHISTLER</w:t>
            </w: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FF0000"/>
                <w:lang w:val="es-MX" w:eastAsia="es-MX" w:bidi="ar-SA"/>
              </w:rPr>
              <w:t>AAVA WHISTLER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OPC. C</w:t>
            </w:r>
          </w:p>
        </w:tc>
      </w:tr>
      <w:tr w:rsidR="00230903" w:rsidRPr="00230903" w:rsidTr="00230903">
        <w:trPr>
          <w:trHeight w:val="269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70AD47"/>
                <w:lang w:val="es-MX" w:eastAsia="es-MX" w:bidi="ar-SA"/>
              </w:rPr>
              <w:t>WESTIN RESORT &amp; SPA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OPC. B</w:t>
            </w:r>
          </w:p>
        </w:tc>
      </w:tr>
      <w:tr w:rsidR="00230903" w:rsidRPr="00230903" w:rsidTr="00230903">
        <w:trPr>
          <w:trHeight w:val="269"/>
          <w:jc w:val="center"/>
        </w:trPr>
        <w:tc>
          <w:tcPr>
            <w:tcW w:w="14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4472C4"/>
                <w:lang w:val="es-MX" w:eastAsia="es-MX" w:bidi="ar-SA"/>
              </w:rPr>
              <w:t>FAIRMONT CHATEAU WHISTLER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OPC. A</w:t>
            </w:r>
          </w:p>
        </w:tc>
      </w:tr>
      <w:tr w:rsidR="00230903" w:rsidRPr="00230903" w:rsidTr="00230903">
        <w:trPr>
          <w:trHeight w:val="269"/>
          <w:jc w:val="center"/>
        </w:trPr>
        <w:tc>
          <w:tcPr>
            <w:tcW w:w="64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tbl>
      <w:tblPr>
        <w:tblW w:w="72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8"/>
        <w:gridCol w:w="604"/>
        <w:gridCol w:w="604"/>
        <w:gridCol w:w="604"/>
        <w:gridCol w:w="604"/>
        <w:gridCol w:w="632"/>
      </w:tblGrid>
      <w:tr w:rsidR="00230903" w:rsidRPr="00230903" w:rsidTr="00230903">
        <w:trPr>
          <w:trHeight w:val="268"/>
          <w:jc w:val="center"/>
        </w:trPr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7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FF0000"/>
                <w:lang w:val="es-MX" w:eastAsia="es-MX" w:bidi="ar-SA"/>
              </w:rPr>
              <w:t>01 - 27 MAY / 01 -15 OCT (OPC. C)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1390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1140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2620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480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FF0000"/>
                <w:lang w:val="es-MX" w:eastAsia="es-MX" w:bidi="ar-SA"/>
              </w:rPr>
              <w:t>28 MAY - 30 SEP (OPC. C)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1600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1270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1100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3210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480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FF0000"/>
                <w:lang w:val="es-MX" w:eastAsia="es-MX" w:bidi="ar-SA"/>
              </w:rPr>
              <w:t>16 - 31 OCT (OPC. C)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6A4CE7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1195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1000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900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2220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480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70AD47"/>
                <w:lang w:val="es-MX" w:eastAsia="es-MX" w:bidi="ar-SA"/>
              </w:rPr>
              <w:t>01 MAY - 11 JUN (OPC. B)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1910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1510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1310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3670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480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70AD47"/>
                <w:lang w:val="es-MX" w:eastAsia="es-MX" w:bidi="ar-SA"/>
              </w:rPr>
              <w:t>12 JUN - 30 SEP (OPC. B)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1980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1550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1360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3790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480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70AD47"/>
                <w:lang w:val="es-MX" w:eastAsia="es-MX" w:bidi="ar-SA"/>
              </w:rPr>
              <w:t>01 - 31 OCT (OPC. B)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1700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1360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1200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3230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480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4472C4"/>
                <w:lang w:val="es-MX" w:eastAsia="es-MX" w:bidi="ar-SA"/>
              </w:rPr>
              <w:t>01 - 27 MAY / 01 - 31 OCT (OPC. A)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1770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1430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1270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3320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480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4472C4"/>
                <w:lang w:val="es-MX" w:eastAsia="es-MX" w:bidi="ar-SA"/>
              </w:rPr>
              <w:t>28 MAY - 30 SEP (OPC. A)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1600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1390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3810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480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230903" w:rsidRPr="00230903" w:rsidTr="00230903">
        <w:trPr>
          <w:trHeight w:val="281"/>
          <w:jc w:val="center"/>
        </w:trPr>
        <w:tc>
          <w:tcPr>
            <w:tcW w:w="723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723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FF0000"/>
                <w:lang w:val="es-MX" w:eastAsia="es-MX" w:bidi="ar-SA"/>
              </w:rPr>
              <w:t>01 - 27 MAY / 01 -15 OCT (OPC. C)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2200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1950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1810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3430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1290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FF0000"/>
                <w:lang w:val="es-MX" w:eastAsia="es-MX" w:bidi="ar-SA"/>
              </w:rPr>
              <w:t>28 MAY - 30 SEP (OPC. C)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2410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1910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4020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1290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FF0000"/>
                <w:lang w:val="es-MX" w:eastAsia="es-MX" w:bidi="ar-SA"/>
              </w:rPr>
              <w:t>16 - 31 OCT (OPC. C)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2010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1810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1710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3030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lang w:val="es-MX" w:eastAsia="es-MX" w:bidi="ar-SA"/>
              </w:rPr>
              <w:t>1290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70AD47"/>
                <w:lang w:val="es-MX" w:eastAsia="es-MX" w:bidi="ar-SA"/>
              </w:rPr>
              <w:t>01 MAY - 11 JUN (OPC. B)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2720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2320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2120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4480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1290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70AD47"/>
                <w:lang w:val="es-MX" w:eastAsia="es-MX" w:bidi="ar-SA"/>
              </w:rPr>
              <w:t>12 JUN - 30 SEP (OPC. B)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2790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2360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2170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4600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1290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70AD47"/>
                <w:lang w:val="es-MX" w:eastAsia="es-MX" w:bidi="ar-SA"/>
              </w:rPr>
              <w:t>01 - 31 OCT (OPC. B)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2510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2170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2010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4040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70AD47"/>
                <w:lang w:val="es-MX" w:eastAsia="es-MX" w:bidi="ar-SA"/>
              </w:rPr>
              <w:t>1290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4472C4"/>
                <w:lang w:val="es-MX" w:eastAsia="es-MX" w:bidi="ar-SA"/>
              </w:rPr>
              <w:t>01 - 27 MAY / 01 - 31 OCT (OPC. A)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2580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2240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2080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4130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1290</w:t>
            </w:r>
          </w:p>
        </w:tc>
      </w:tr>
      <w:tr w:rsidR="00230903" w:rsidRPr="00230903" w:rsidTr="00230903">
        <w:trPr>
          <w:trHeight w:val="268"/>
          <w:jc w:val="center"/>
        </w:trPr>
        <w:tc>
          <w:tcPr>
            <w:tcW w:w="41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4472C4"/>
                <w:lang w:val="es-MX" w:eastAsia="es-MX" w:bidi="ar-SA"/>
              </w:rPr>
              <w:t>28 MAY - 30 SEP (OPC. A)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2820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2410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2200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4620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4472C4"/>
                <w:lang w:val="es-MX" w:eastAsia="es-MX" w:bidi="ar-SA"/>
              </w:rPr>
              <w:t>1290</w:t>
            </w:r>
          </w:p>
        </w:tc>
      </w:tr>
    </w:tbl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DC787F" w:rsidRPr="00DC787F" w:rsidRDefault="00DC787F" w:rsidP="00DC787F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 w:eastAsia="es-ES" w:bidi="ar-SA"/>
        </w:rPr>
      </w:pPr>
    </w:p>
    <w:p w:rsidR="00B452C3" w:rsidRPr="00B452C3" w:rsidRDefault="00B452C3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265192" w:rsidRDefault="00265192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87864" w:rsidRDefault="00487864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6A4CE7" w:rsidRDefault="006A4CE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6A4CE7" w:rsidRDefault="006A4CE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6A4CE7" w:rsidRDefault="006A4CE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B3B1B" w:rsidRDefault="007B3B1B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7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23"/>
      </w:tblGrid>
      <w:tr w:rsidR="00230903" w:rsidRPr="00230903" w:rsidTr="00230903">
        <w:trPr>
          <w:trHeight w:val="245"/>
          <w:jc w:val="center"/>
        </w:trPr>
        <w:tc>
          <w:tcPr>
            <w:tcW w:w="7723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230903" w:rsidRPr="00230903" w:rsidTr="00230903">
        <w:trPr>
          <w:trHeight w:val="245"/>
          <w:jc w:val="center"/>
        </w:trPr>
        <w:tc>
          <w:tcPr>
            <w:tcW w:w="772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VANCOUVER - MÉXICO</w:t>
            </w:r>
          </w:p>
        </w:tc>
      </w:tr>
      <w:tr w:rsidR="00230903" w:rsidRPr="00230903" w:rsidTr="00230903">
        <w:trPr>
          <w:trHeight w:val="245"/>
          <w:jc w:val="center"/>
        </w:trPr>
        <w:tc>
          <w:tcPr>
            <w:tcW w:w="772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230903" w:rsidRPr="00230903" w:rsidTr="00230903">
        <w:trPr>
          <w:trHeight w:val="245"/>
          <w:jc w:val="center"/>
        </w:trPr>
        <w:tc>
          <w:tcPr>
            <w:tcW w:w="772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230903" w:rsidRPr="00230903" w:rsidTr="00230903">
        <w:trPr>
          <w:trHeight w:val="245"/>
          <w:jc w:val="center"/>
        </w:trPr>
        <w:tc>
          <w:tcPr>
            <w:tcW w:w="772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230903" w:rsidRPr="00230903" w:rsidTr="00230903">
        <w:trPr>
          <w:trHeight w:val="245"/>
          <w:jc w:val="center"/>
        </w:trPr>
        <w:tc>
          <w:tcPr>
            <w:tcW w:w="772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230903" w:rsidRPr="00230903" w:rsidTr="00230903">
        <w:trPr>
          <w:trHeight w:val="245"/>
          <w:jc w:val="center"/>
        </w:trPr>
        <w:tc>
          <w:tcPr>
            <w:tcW w:w="7723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14 O 18 AÑOS</w:t>
            </w:r>
          </w:p>
        </w:tc>
      </w:tr>
      <w:tr w:rsidR="00230903" w:rsidRPr="00230903" w:rsidTr="00230903">
        <w:trPr>
          <w:trHeight w:val="257"/>
          <w:jc w:val="center"/>
        </w:trPr>
        <w:tc>
          <w:tcPr>
            <w:tcW w:w="772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VIGENCIA: 01 DE MAYO A 31 DE OCTUBRE 2024</w:t>
            </w:r>
          </w:p>
        </w:tc>
      </w:tr>
      <w:tr w:rsidR="00230903" w:rsidRPr="00230903" w:rsidTr="00230903">
        <w:trPr>
          <w:trHeight w:val="257"/>
          <w:jc w:val="center"/>
        </w:trPr>
        <w:tc>
          <w:tcPr>
            <w:tcW w:w="7723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487864" w:rsidRDefault="00487864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487864" w:rsidRDefault="00487864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A87AF4" w:rsidRPr="00B452C3" w:rsidRDefault="00A87AF4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153A17" w:rsidRPr="00B452C3" w:rsidRDefault="00B452C3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B452C3">
        <w:rPr>
          <w:rFonts w:ascii="Calibri" w:hAnsi="Calibri" w:cs="Calibri"/>
          <w:noProof/>
          <w:color w:val="000000"/>
          <w:lang w:val="es-MX" w:eastAsia="es-MX" w:bidi="ar-SA"/>
        </w:rPr>
        <w:drawing>
          <wp:anchor distT="0" distB="0" distL="114300" distR="114300" simplePos="0" relativeHeight="251661312" behindDoc="0" locked="0" layoutInCell="1" allowOverlap="1" wp14:anchorId="35287B41" wp14:editId="6D0D4D1E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466975" cy="647700"/>
            <wp:effectExtent l="0" t="0" r="9525" b="0"/>
            <wp:wrapNone/>
            <wp:docPr id="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1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>
                      <a:extLst>
                        <a:ext uri="{FF2B5EF4-FFF2-40B4-BE49-F238E27FC236}">
                          <a16:creationId xmlns:a16="http://schemas.microsoft.com/office/drawing/2014/main" id="{00000000-0008-0000-1100-000005000000}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17" w:rsidRPr="00B452C3" w:rsidRDefault="00153A17" w:rsidP="00153A1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E31C43" w:rsidRPr="00B452C3" w:rsidRDefault="00E31C43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974A2B" w:rsidRPr="00B452C3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6472F8" w:rsidRPr="00B452C3" w:rsidRDefault="006472F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54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70"/>
        <w:gridCol w:w="821"/>
      </w:tblGrid>
      <w:tr w:rsidR="00230903" w:rsidRPr="00230903" w:rsidTr="00230903">
        <w:trPr>
          <w:trHeight w:val="300"/>
          <w:jc w:val="center"/>
        </w:trPr>
        <w:tc>
          <w:tcPr>
            <w:tcW w:w="54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TRAVEL SHOP PACK  </w:t>
            </w: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54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TARIFA POR PERSONA EN USD</w:t>
            </w: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INCLUYE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ADT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VALLEA LUMINA</w:t>
            </w:r>
          </w:p>
        </w:tc>
        <w:tc>
          <w:tcPr>
            <w:tcW w:w="6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460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320</w:t>
            </w: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GÓNDOLA PEAK TO PEAK</w:t>
            </w: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  <w:tr w:rsidR="00230903" w:rsidRPr="00230903" w:rsidTr="00230903">
        <w:trPr>
          <w:trHeight w:val="300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230903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TOUR DE VICTORIA</w:t>
            </w:r>
          </w:p>
        </w:tc>
        <w:tc>
          <w:tcPr>
            <w:tcW w:w="67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903" w:rsidRPr="00230903" w:rsidRDefault="00230903" w:rsidP="00230903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</w:tr>
    </w:tbl>
    <w:p w:rsidR="00974A2B" w:rsidRPr="00B452C3" w:rsidRDefault="00974A2B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583618" w:rsidRPr="00B452C3" w:rsidRDefault="00583618" w:rsidP="00583618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583618" w:rsidRPr="00B452C3" w:rsidSect="00B452C3">
      <w:headerReference w:type="default" r:id="rId12"/>
      <w:footerReference w:type="default" r:id="rId13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E1E6E" w:rsidRDefault="008E1E6E" w:rsidP="00450C15">
      <w:pPr>
        <w:spacing w:after="0" w:line="240" w:lineRule="auto"/>
      </w:pPr>
      <w:r>
        <w:separator/>
      </w:r>
    </w:p>
  </w:endnote>
  <w:endnote w:type="continuationSeparator" w:id="0">
    <w:p w:rsidR="008E1E6E" w:rsidRDefault="008E1E6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D5AF24F" wp14:editId="550EC313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38167E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E1E6E" w:rsidRDefault="008E1E6E" w:rsidP="00450C15">
      <w:pPr>
        <w:spacing w:after="0" w:line="240" w:lineRule="auto"/>
      </w:pPr>
      <w:r>
        <w:separator/>
      </w:r>
    </w:p>
  </w:footnote>
  <w:footnote w:type="continuationSeparator" w:id="0">
    <w:p w:rsidR="008E1E6E" w:rsidRDefault="008E1E6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1698488" wp14:editId="380E353E">
              <wp:simplePos x="0" y="0"/>
              <wp:positionH relativeFrom="column">
                <wp:posOffset>-392430</wp:posOffset>
              </wp:positionH>
              <wp:positionV relativeFrom="paragraph">
                <wp:posOffset>-191135</wp:posOffset>
              </wp:positionV>
              <wp:extent cx="4762500" cy="75438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754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B452C3" w:rsidRDefault="00265192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B452C3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ESTELAR COLUMBIA BRITÁNICA</w:t>
                          </w:r>
                        </w:p>
                        <w:p w:rsidR="00AA05C1" w:rsidRPr="007E6927" w:rsidRDefault="00265192" w:rsidP="007C678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579-C202</w:t>
                          </w:r>
                          <w:r w:rsidR="00230903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69848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0.9pt;margin-top:-15.05pt;width:375pt;height:5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VsKwIAAE8EAAAOAAAAZHJzL2Uyb0RvYy54bWysVFFv2jAQfp+0/2D5fQQY0DYiVIyKaRJq&#10;K9Gpz8axSSTb59mGhP36nZ1AWbenaS/mfHec777vu8zvW63IUThfgynoaDCkRBgOZW32Bf3+sv50&#10;S4kPzJRMgREFPQlP7xcfP8wbm4sxVKBK4QgWMT5vbEGrEGyeZZ5XQjM/ACsMBiU4zQJe3T4rHWuw&#10;ulbZeDicZQ240jrgwnv0PnRBukj1pRQ8PEnpRSCqoNhbSKdL5y6e2WLO8r1jtqp53wb7hy40qw0+&#10;ein1wAIjB1f/UUrX3IEHGQYcdAZS1lykGXCa0fDdNNuKWZFmQXC8vcDk/19Z/nh8dqQuCzqjxDCN&#10;FK0OrHRASkGCaAOQWQSpsT7H3K3F7NB+gRbJPvs9OuPsrXQ6/uJUBOMI9+kCMVYiHJ2Tm9l4OsQQ&#10;x9jNdPL5NnGQvf3bOh++CtAkGgV1SGFClh03PmAnmHpOiY8ZWNdKJRqV+c2BidGTxda7FqMV2l3b&#10;z7OD8oTjOOhU4S1f1/jmhvnwzBzKANtEaYcnPKSCpqDQW5RU4H7+zR/zkR2MUtKgrArqfxyYE5So&#10;bwZ5uxtNJlGH6TKZ3ozx4q4ju+uIOegVoHJHuESWJzPmB3U2pQP9ihuwjK9iiBmObxc0nM1V6MSO&#10;G8TFcpmSUHmWhY3ZWh5LR9Aioi/tK3O2hz1S/whnAbL8Hfpdbgf38hBA1omaCHCHao87qjYx1m9Y&#10;XIvre8p6+w4sfgEAAP//AwBQSwMEFAAGAAgAAAAhAP3OeNzeAAAACgEAAA8AAABkcnMvZG93bnJl&#10;di54bWxMj8FOwzAQRO9I/IO1SNxaOwVSE+JUCMQVRKFI3Nx4m0TE6yh2m/D3LCe47WhHM2/Kzex7&#10;ccIxdoEMZEsFAqkOrqPGwPvb00KDiMmSs30gNPCNETbV+VlpCxcmesXTNjWCQygW1kCb0lBIGesW&#10;vY3LMCDx7xBGbxPLsZFutBOH+16ulMqltx1xQ2sHfGix/toevYHd8+Hz41q9NI/+ZpjCrCT5W2nM&#10;5cV8fwci4Zz+zPCLz+hQMdM+HMlF0RtY5BmjJz6uVAaCHbnWKxB7A1qvQVal/D+h+gEAAP//AwBQ&#10;SwECLQAUAAYACAAAACEAtoM4kv4AAADhAQAAEwAAAAAAAAAAAAAAAAAAAAAAW0NvbnRlbnRfVHlw&#10;ZXNdLnhtbFBLAQItABQABgAIAAAAIQA4/SH/1gAAAJQBAAALAAAAAAAAAAAAAAAAAC8BAABfcmVs&#10;cy8ucmVsc1BLAQItABQABgAIAAAAIQBeARVsKwIAAE8EAAAOAAAAAAAAAAAAAAAAAC4CAABkcnMv&#10;ZTJvRG9jLnhtbFBLAQItABQABgAIAAAAIQD9znjc3gAAAAoBAAAPAAAAAAAAAAAAAAAAAIUEAABk&#10;cnMvZG93bnJldi54bWxQSwUGAAAAAAQABADzAAAAkAUAAAAA&#10;" filled="f" stroked="f">
              <v:textbox>
                <w:txbxContent>
                  <w:p w:rsidR="007A77DC" w:rsidRPr="00B452C3" w:rsidRDefault="00265192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B452C3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ESTELAR COLUMBIA BRITÁNICA</w:t>
                    </w:r>
                  </w:p>
                  <w:p w:rsidR="00AA05C1" w:rsidRPr="007E6927" w:rsidRDefault="00265192" w:rsidP="007C678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579-C202</w:t>
                    </w:r>
                    <w:r w:rsidR="00230903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141D4B37" wp14:editId="42DB3F9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023700D" wp14:editId="1A8E87A7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F6DEEB" wp14:editId="61D2C1A0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5CE2A6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8" type="#_x0000_t75" style="width:410.25pt;height:410.25pt" o:bullet="t">
        <v:imagedata r:id="rId1" o:title="clip_image001"/>
      </v:shape>
    </w:pict>
  </w:numPicBullet>
  <w:numPicBullet w:numPicBulletId="1">
    <w:pict>
      <v:shape id="_x0000_i1209" type="#_x0000_t75" style="width:470.25pt;height:470.2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6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0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9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7"/>
  </w:num>
  <w:num w:numId="14">
    <w:abstractNumId w:val="45"/>
  </w:num>
  <w:num w:numId="15">
    <w:abstractNumId w:val="32"/>
  </w:num>
  <w:num w:numId="16">
    <w:abstractNumId w:val="36"/>
  </w:num>
  <w:num w:numId="17">
    <w:abstractNumId w:val="4"/>
  </w:num>
  <w:num w:numId="18">
    <w:abstractNumId w:val="27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4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3"/>
  </w:num>
  <w:num w:numId="31">
    <w:abstractNumId w:val="43"/>
  </w:num>
  <w:num w:numId="32">
    <w:abstractNumId w:val="44"/>
  </w:num>
  <w:num w:numId="33">
    <w:abstractNumId w:val="28"/>
  </w:num>
  <w:num w:numId="34">
    <w:abstractNumId w:val="25"/>
  </w:num>
  <w:num w:numId="35">
    <w:abstractNumId w:val="35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8"/>
  </w:num>
  <w:num w:numId="43">
    <w:abstractNumId w:val="24"/>
  </w:num>
  <w:num w:numId="44">
    <w:abstractNumId w:val="14"/>
  </w:num>
  <w:num w:numId="45">
    <w:abstractNumId w:val="31"/>
  </w:num>
  <w:num w:numId="46">
    <w:abstractNumId w:val="23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4095"/>
    <w:rsid w:val="00074477"/>
    <w:rsid w:val="00080110"/>
    <w:rsid w:val="000824E7"/>
    <w:rsid w:val="000901BB"/>
    <w:rsid w:val="0009249E"/>
    <w:rsid w:val="00093D58"/>
    <w:rsid w:val="00095DD7"/>
    <w:rsid w:val="000964DB"/>
    <w:rsid w:val="00096AC7"/>
    <w:rsid w:val="000A39E6"/>
    <w:rsid w:val="000B06D8"/>
    <w:rsid w:val="000B5887"/>
    <w:rsid w:val="000C44F4"/>
    <w:rsid w:val="000D07FA"/>
    <w:rsid w:val="000D1495"/>
    <w:rsid w:val="000D3537"/>
    <w:rsid w:val="000D783A"/>
    <w:rsid w:val="000F116C"/>
    <w:rsid w:val="000F6819"/>
    <w:rsid w:val="001002D2"/>
    <w:rsid w:val="001056F5"/>
    <w:rsid w:val="00106CE3"/>
    <w:rsid w:val="00107F5C"/>
    <w:rsid w:val="00111BF3"/>
    <w:rsid w:val="00113C32"/>
    <w:rsid w:val="00115DF1"/>
    <w:rsid w:val="00124C0C"/>
    <w:rsid w:val="00153A17"/>
    <w:rsid w:val="00156E7E"/>
    <w:rsid w:val="00170958"/>
    <w:rsid w:val="00192F1E"/>
    <w:rsid w:val="001966E3"/>
    <w:rsid w:val="001968C2"/>
    <w:rsid w:val="001A52D8"/>
    <w:rsid w:val="001A58AA"/>
    <w:rsid w:val="001A5E6D"/>
    <w:rsid w:val="001D1FC0"/>
    <w:rsid w:val="001D3EA5"/>
    <w:rsid w:val="001D59AE"/>
    <w:rsid w:val="001E0BFB"/>
    <w:rsid w:val="001E177F"/>
    <w:rsid w:val="001E33CC"/>
    <w:rsid w:val="001E49A4"/>
    <w:rsid w:val="001E6442"/>
    <w:rsid w:val="002049A1"/>
    <w:rsid w:val="00207F26"/>
    <w:rsid w:val="00210FC1"/>
    <w:rsid w:val="002209BD"/>
    <w:rsid w:val="0022416D"/>
    <w:rsid w:val="00227509"/>
    <w:rsid w:val="00230903"/>
    <w:rsid w:val="002564A3"/>
    <w:rsid w:val="0026013F"/>
    <w:rsid w:val="0026167F"/>
    <w:rsid w:val="0026366E"/>
    <w:rsid w:val="00264C19"/>
    <w:rsid w:val="00265192"/>
    <w:rsid w:val="00286ED8"/>
    <w:rsid w:val="002959E3"/>
    <w:rsid w:val="002A2E9B"/>
    <w:rsid w:val="002A3855"/>
    <w:rsid w:val="002A6F1A"/>
    <w:rsid w:val="002C202A"/>
    <w:rsid w:val="002C3E02"/>
    <w:rsid w:val="002D42BE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74FBE"/>
    <w:rsid w:val="003805A5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53009"/>
    <w:rsid w:val="0047057D"/>
    <w:rsid w:val="00471EDB"/>
    <w:rsid w:val="0048055D"/>
    <w:rsid w:val="00482E91"/>
    <w:rsid w:val="0048436E"/>
    <w:rsid w:val="00487864"/>
    <w:rsid w:val="004A27E0"/>
    <w:rsid w:val="004A68D9"/>
    <w:rsid w:val="004B1883"/>
    <w:rsid w:val="004B372F"/>
    <w:rsid w:val="004C45C8"/>
    <w:rsid w:val="004D2C2F"/>
    <w:rsid w:val="004F13E7"/>
    <w:rsid w:val="00501CA3"/>
    <w:rsid w:val="00510D53"/>
    <w:rsid w:val="00511D36"/>
    <w:rsid w:val="005130A5"/>
    <w:rsid w:val="00513C9F"/>
    <w:rsid w:val="0051586A"/>
    <w:rsid w:val="005207FE"/>
    <w:rsid w:val="0052767C"/>
    <w:rsid w:val="00544785"/>
    <w:rsid w:val="00551F75"/>
    <w:rsid w:val="00555729"/>
    <w:rsid w:val="0055617B"/>
    <w:rsid w:val="00564D1B"/>
    <w:rsid w:val="00566F7B"/>
    <w:rsid w:val="00583618"/>
    <w:rsid w:val="00592677"/>
    <w:rsid w:val="005B0F31"/>
    <w:rsid w:val="005B2FB8"/>
    <w:rsid w:val="006053CD"/>
    <w:rsid w:val="006130D1"/>
    <w:rsid w:val="00615736"/>
    <w:rsid w:val="00630B01"/>
    <w:rsid w:val="006472F8"/>
    <w:rsid w:val="00647995"/>
    <w:rsid w:val="00655755"/>
    <w:rsid w:val="00680376"/>
    <w:rsid w:val="00686844"/>
    <w:rsid w:val="00695D3C"/>
    <w:rsid w:val="00695D87"/>
    <w:rsid w:val="006971B8"/>
    <w:rsid w:val="006A237F"/>
    <w:rsid w:val="006A4CE7"/>
    <w:rsid w:val="006B1451"/>
    <w:rsid w:val="006B1779"/>
    <w:rsid w:val="006B19F7"/>
    <w:rsid w:val="006C1BF7"/>
    <w:rsid w:val="006C41CE"/>
    <w:rsid w:val="006C568C"/>
    <w:rsid w:val="006D02FC"/>
    <w:rsid w:val="006D2961"/>
    <w:rsid w:val="006D3C96"/>
    <w:rsid w:val="006D64BE"/>
    <w:rsid w:val="006E0F61"/>
    <w:rsid w:val="006F44DD"/>
    <w:rsid w:val="006F45DE"/>
    <w:rsid w:val="006F695F"/>
    <w:rsid w:val="00703EF5"/>
    <w:rsid w:val="0072678D"/>
    <w:rsid w:val="00727503"/>
    <w:rsid w:val="00737C85"/>
    <w:rsid w:val="0074550A"/>
    <w:rsid w:val="0075408D"/>
    <w:rsid w:val="00772BB6"/>
    <w:rsid w:val="00781EA2"/>
    <w:rsid w:val="00784A59"/>
    <w:rsid w:val="00785687"/>
    <w:rsid w:val="00792A3C"/>
    <w:rsid w:val="0079315A"/>
    <w:rsid w:val="00796421"/>
    <w:rsid w:val="007A77DC"/>
    <w:rsid w:val="007B3B1B"/>
    <w:rsid w:val="007B4221"/>
    <w:rsid w:val="007B5A10"/>
    <w:rsid w:val="007C6783"/>
    <w:rsid w:val="007D40C6"/>
    <w:rsid w:val="007E1125"/>
    <w:rsid w:val="007E278A"/>
    <w:rsid w:val="007E6927"/>
    <w:rsid w:val="007E72B8"/>
    <w:rsid w:val="007F57ED"/>
    <w:rsid w:val="00803699"/>
    <w:rsid w:val="008155E2"/>
    <w:rsid w:val="00824B64"/>
    <w:rsid w:val="0083402F"/>
    <w:rsid w:val="00841EE0"/>
    <w:rsid w:val="0084400B"/>
    <w:rsid w:val="00852D35"/>
    <w:rsid w:val="008531BC"/>
    <w:rsid w:val="00856660"/>
    <w:rsid w:val="00857275"/>
    <w:rsid w:val="00861165"/>
    <w:rsid w:val="0086511B"/>
    <w:rsid w:val="00881893"/>
    <w:rsid w:val="00891A2A"/>
    <w:rsid w:val="00894F82"/>
    <w:rsid w:val="008968CB"/>
    <w:rsid w:val="008A2C96"/>
    <w:rsid w:val="008A6696"/>
    <w:rsid w:val="008B406F"/>
    <w:rsid w:val="008B7201"/>
    <w:rsid w:val="008C2581"/>
    <w:rsid w:val="008D24A8"/>
    <w:rsid w:val="008E1E6E"/>
    <w:rsid w:val="008F0CE2"/>
    <w:rsid w:val="00902CE2"/>
    <w:rsid w:val="009227E5"/>
    <w:rsid w:val="00922A13"/>
    <w:rsid w:val="00932207"/>
    <w:rsid w:val="00934D10"/>
    <w:rsid w:val="00943885"/>
    <w:rsid w:val="00944382"/>
    <w:rsid w:val="00945EA0"/>
    <w:rsid w:val="00945F28"/>
    <w:rsid w:val="00946EA6"/>
    <w:rsid w:val="00962B70"/>
    <w:rsid w:val="009701C1"/>
    <w:rsid w:val="00974A2B"/>
    <w:rsid w:val="00984F5A"/>
    <w:rsid w:val="009A0E03"/>
    <w:rsid w:val="009A0EE3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171DD"/>
    <w:rsid w:val="00A2030A"/>
    <w:rsid w:val="00A25259"/>
    <w:rsid w:val="00A25CD2"/>
    <w:rsid w:val="00A261C5"/>
    <w:rsid w:val="00A300C1"/>
    <w:rsid w:val="00A316F2"/>
    <w:rsid w:val="00A36CF5"/>
    <w:rsid w:val="00A410E9"/>
    <w:rsid w:val="00A4233B"/>
    <w:rsid w:val="00A42A00"/>
    <w:rsid w:val="00A52F6E"/>
    <w:rsid w:val="00A57319"/>
    <w:rsid w:val="00A57BCB"/>
    <w:rsid w:val="00A67672"/>
    <w:rsid w:val="00A67A3A"/>
    <w:rsid w:val="00A8172E"/>
    <w:rsid w:val="00A87AF4"/>
    <w:rsid w:val="00A9114E"/>
    <w:rsid w:val="00A94746"/>
    <w:rsid w:val="00A9641A"/>
    <w:rsid w:val="00AA05C1"/>
    <w:rsid w:val="00AA6504"/>
    <w:rsid w:val="00AC1584"/>
    <w:rsid w:val="00AC1E22"/>
    <w:rsid w:val="00AC2765"/>
    <w:rsid w:val="00AE3365"/>
    <w:rsid w:val="00AE3E65"/>
    <w:rsid w:val="00AF38FC"/>
    <w:rsid w:val="00AF48C2"/>
    <w:rsid w:val="00B0056D"/>
    <w:rsid w:val="00B03159"/>
    <w:rsid w:val="00B36A64"/>
    <w:rsid w:val="00B452C3"/>
    <w:rsid w:val="00B47722"/>
    <w:rsid w:val="00B4786E"/>
    <w:rsid w:val="00B55CCC"/>
    <w:rsid w:val="00B67AB9"/>
    <w:rsid w:val="00B70462"/>
    <w:rsid w:val="00B70B31"/>
    <w:rsid w:val="00B70BD8"/>
    <w:rsid w:val="00B770D6"/>
    <w:rsid w:val="00B878B9"/>
    <w:rsid w:val="00B94106"/>
    <w:rsid w:val="00BA0647"/>
    <w:rsid w:val="00BA4BBE"/>
    <w:rsid w:val="00BC01E4"/>
    <w:rsid w:val="00BC224F"/>
    <w:rsid w:val="00BC7979"/>
    <w:rsid w:val="00BD61D9"/>
    <w:rsid w:val="00BE0551"/>
    <w:rsid w:val="00BE2349"/>
    <w:rsid w:val="00BF2847"/>
    <w:rsid w:val="00C06986"/>
    <w:rsid w:val="00C07D31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74E10"/>
    <w:rsid w:val="00C834CC"/>
    <w:rsid w:val="00C83F15"/>
    <w:rsid w:val="00CA4683"/>
    <w:rsid w:val="00CC16AE"/>
    <w:rsid w:val="00CC18B7"/>
    <w:rsid w:val="00CE1CC7"/>
    <w:rsid w:val="00CE7934"/>
    <w:rsid w:val="00CF6EEC"/>
    <w:rsid w:val="00D013E2"/>
    <w:rsid w:val="00D21E04"/>
    <w:rsid w:val="00D27DAB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97C3C"/>
    <w:rsid w:val="00DA3716"/>
    <w:rsid w:val="00DC13CC"/>
    <w:rsid w:val="00DC787F"/>
    <w:rsid w:val="00DD29DB"/>
    <w:rsid w:val="00DD5E59"/>
    <w:rsid w:val="00DD6A94"/>
    <w:rsid w:val="00DF15D6"/>
    <w:rsid w:val="00DF5636"/>
    <w:rsid w:val="00E03A5D"/>
    <w:rsid w:val="00E10D30"/>
    <w:rsid w:val="00E163CF"/>
    <w:rsid w:val="00E21309"/>
    <w:rsid w:val="00E25205"/>
    <w:rsid w:val="00E27291"/>
    <w:rsid w:val="00E31C43"/>
    <w:rsid w:val="00E32DE6"/>
    <w:rsid w:val="00E477EC"/>
    <w:rsid w:val="00E54233"/>
    <w:rsid w:val="00E663D4"/>
    <w:rsid w:val="00E7309E"/>
    <w:rsid w:val="00E74618"/>
    <w:rsid w:val="00E846AA"/>
    <w:rsid w:val="00E8785D"/>
    <w:rsid w:val="00E90FAD"/>
    <w:rsid w:val="00E948BD"/>
    <w:rsid w:val="00E9656D"/>
    <w:rsid w:val="00EA0490"/>
    <w:rsid w:val="00EA17D1"/>
    <w:rsid w:val="00EB5340"/>
    <w:rsid w:val="00EC6694"/>
    <w:rsid w:val="00EC7F50"/>
    <w:rsid w:val="00ED14C5"/>
    <w:rsid w:val="00ED2EE5"/>
    <w:rsid w:val="00EE2437"/>
    <w:rsid w:val="00EE3ECA"/>
    <w:rsid w:val="00EE57B8"/>
    <w:rsid w:val="00EF313D"/>
    <w:rsid w:val="00F00F60"/>
    <w:rsid w:val="00F11662"/>
    <w:rsid w:val="00F11C4C"/>
    <w:rsid w:val="00F1599F"/>
    <w:rsid w:val="00F523B5"/>
    <w:rsid w:val="00F61470"/>
    <w:rsid w:val="00F74B6B"/>
    <w:rsid w:val="00F96F4D"/>
    <w:rsid w:val="00FA41DC"/>
    <w:rsid w:val="00FC4962"/>
    <w:rsid w:val="00F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2BD2D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81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1D1FC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65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213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4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3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c.gc.ca/english/visit/eta-facts-e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na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D7EE0-8F32-4461-B1E7-01BB7A42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1498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2024-01-04T23:55:00Z</dcterms:created>
  <dcterms:modified xsi:type="dcterms:W3CDTF">2024-01-04T23:55:00Z</dcterms:modified>
</cp:coreProperties>
</file>