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GUATEMALA, ANTIGUA, PANAJACHEL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6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Martes y viernes hasta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1 pasajeros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México – Guatemala – Antigua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asistencia y traslado a Antigua Guatemala.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color w:val="002060"/>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Antigua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Antigua – Chichicastenango – Lago Atitlán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0F">
      <w:pPr>
        <w:spacing w:after="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4|</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Bote San Juan la Laguna – Lago Atitlán – Guatemala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las 08:00 de la mañana, abordaremos el bote que nos conducirá hacia el poblado de San Juan La Laguna, a su llegada caminata y visita de la Iglesia Católica. Luego nos dirigiremos hacia la fábrica de chocolate para ver la elaboración de este,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2">
      <w:pPr>
        <w:spacing w:after="0" w:lineRule="auto"/>
        <w:rPr>
          <w:b w:val="1"/>
          <w:bCs w:val="1"/>
          <w:sz w:val="20"/>
          <w:szCs w:val="20"/>
        </w:rPr>
      </w:pPr>
      <w:r w:rsidDel="00000000" w:rsidR="00000000" w:rsidRPr="00000000">
        <w:rPr>
          <w:rFonts w:ascii="Calibri" w:cs="Calibri" w:eastAsia="Calibri" w:hAnsi="Calibri"/>
          <w:color w:val="002060"/>
          <w:sz w:val="20"/>
          <w:szCs w:val="20"/>
          <w:rtl w:val="0"/>
        </w:rPr>
        <w:t xml:space="preserve"> </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13">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Guatemala – Flores – Tikal – Flores – Guatemala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empacado que se le entregará en la recepción del hotel. A las 04:00 traslado al Aeropuerto para abordar el vuelo hacia el Aeropuerto Internacional Mundo Maya,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su llegada recibimiento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Guatemala – México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Traslado al aeropuerto para tomar vuelo con destino a México.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18">
      <w:pPr>
        <w:spacing w:after="0" w:line="240" w:lineRule="auto"/>
        <w:jc w:val="both"/>
        <w:rPr>
          <w:rFonts w:ascii="Gotham" w:cs="Gotham" w:eastAsia="Gotham" w:hAnsi="Gotham"/>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Antigua, 1 noche en Panajachel y 2 noches en Guatemala con desayunos.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Antigua – Panajachel – Guatemala – aeropuerto en servicio compartido.</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ciudad en Antigua, Ciudad Vieja en servicio compartido.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en Panajachel en servicio compartido.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Paseo en bote en Lago Atitlán en servicio compartido.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sitio arqueológico Tikal con almuerzo en servicio compartido.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Hoteleros.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Transportación terrestre para los tours en servicio compartido.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Internacionales e internos (precio orientativo).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de aeropuertos.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RESORT FEE (se paga en destino)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 Guatemala / Flores / Guatemala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Los servicios en Privado operan los días Martes y Viernes.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 Antigua y Panajachel están aplicando un resort fee. (Se paga en destino).</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Día 05 no incluye desayuno es Box Breakfast.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Tarifa menor no incluye desayunos – pueden compartir hab. con sus padres 2 niños menores de 10 años sin costo alguno en plan europeo (sin alimentación). Si desea incluir los desayunos tiene un costo aproximado de 20 USD cada uno.</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bookmarkStart w:colFirst="0" w:colLast="0" w:name="_heading=h.wbcvqotnl0dy" w:id="0"/>
      <w:bookmarkEnd w:id="0"/>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Adicionar:  Precio boleto GUA – FRS - GUA vía TAG. 275 USD.</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Todos los traslados en servicio compartido/regular o privado aplican de 05:00 a 20:00 hrs, después o antes de dichas horas aplica un suplemento de 25 usd por persona por trayecto.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Antigua Property Fee se distribuye en inversión para sostenibilidad, como proyectos de reforestación, ornato, seguridad, apoyo a la comunidad y jardinización de Ruta del Orgullo (Carretera de Guatemala a La Antigua Km 33)</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Panajachel Property Fee se distribuye en inversión para sostenibilidad, como proyectos de reforestación, ornato, seguridad, y apoyo a la comunidad.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1"/>
        <w:tblW w:w="7817.0" w:type="dxa"/>
        <w:jc w:val="center"/>
        <w:tblLayout w:type="fixed"/>
        <w:tblLook w:val="0400"/>
      </w:tblPr>
      <w:tblGrid>
        <w:gridCol w:w="2710"/>
        <w:gridCol w:w="4121"/>
        <w:gridCol w:w="986"/>
        <w:tblGridChange w:id="0">
          <w:tblGrid>
            <w:gridCol w:w="2710"/>
            <w:gridCol w:w="4121"/>
            <w:gridCol w:w="986"/>
          </w:tblGrid>
        </w:tblGridChange>
      </w:tblGrid>
      <w:tr>
        <w:trPr>
          <w:cantSplit w:val="0"/>
          <w:trHeight w:val="290"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290" w:hRule="atLeast"/>
          <w:tblHeader w:val="0"/>
        </w:trPr>
        <w:tc>
          <w:tcPr>
            <w:tcBorders>
              <w:left w:color="0563c1" w:space="0" w:sz="6" w:val="single"/>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716bc1" w:space="0" w:sz="6" w:val="single"/>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90" w:hRule="atLeast"/>
          <w:tblHeader w:val="0"/>
        </w:trPr>
        <w:tc>
          <w:tcPr>
            <w:vMerge w:val="restart"/>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GUATEMALA</w:t>
            </w:r>
          </w:p>
        </w:tc>
        <w:tc>
          <w:tcPr>
            <w:shd w:fill="ffffff" w:val="clear"/>
            <w:tcMar>
              <w:top w:w="0.0" w:type="dxa"/>
              <w:left w:w="45.0" w:type="dxa"/>
              <w:bottom w:w="0.0" w:type="dxa"/>
              <w:right w:w="45.0" w:type="dxa"/>
            </w:tcMar>
            <w:vAlign w:val="center"/>
          </w:tcPr>
          <w:p w:rsidR="00000000" w:rsidDel="00000000" w:rsidP="00000000" w:rsidRDefault="00000000" w:rsidRPr="00000000" w14:paraId="0000004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AMÉRICAS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BARCELÓ</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0" w:hRule="atLeast"/>
          <w:tblHeader w:val="0"/>
        </w:trPr>
        <w:tc>
          <w:tcPr>
            <w:vMerge w:val="continue"/>
            <w:tcBorders>
              <w:left w:color="0563c1" w:space="0" w:sz="6" w:val="single"/>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HILTON GUATEMALA</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6">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w:t>
            </w:r>
          </w:p>
        </w:tc>
      </w:tr>
      <w:tr>
        <w:trPr>
          <w:cantSplit w:val="0"/>
          <w:trHeight w:val="290" w:hRule="atLeast"/>
          <w:tblHeader w:val="0"/>
        </w:trPr>
        <w:tc>
          <w:tcPr>
            <w:vMerge w:val="restart"/>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ANTIGUA</w:t>
            </w:r>
          </w:p>
        </w:tc>
        <w:tc>
          <w:tcPr>
            <w:shd w:fill="ffffff" w:val="clea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MARÍAS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PORTO ANTIGUA</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90" w:hRule="atLeast"/>
          <w:tblHeader w:val="0"/>
        </w:trPr>
        <w:tc>
          <w:tcPr>
            <w:vMerge w:val="continue"/>
            <w:tcBorders>
              <w:left w:color="0563c1" w:space="0" w:sz="6" w:val="single"/>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PENSATIVO</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F">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w:t>
            </w:r>
          </w:p>
        </w:tc>
      </w:tr>
      <w:tr>
        <w:trPr>
          <w:cantSplit w:val="0"/>
          <w:trHeight w:val="290" w:hRule="atLeast"/>
          <w:tblHeader w:val="0"/>
        </w:trPr>
        <w:tc>
          <w:tcPr>
            <w:vMerge w:val="restart"/>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PANAJACHEL</w:t>
            </w:r>
          </w:p>
        </w:tc>
        <w:tc>
          <w:tcPr>
            <w:shd w:fill="ffffff"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PORTA DEL LAGO</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90" w:hRule="atLeast"/>
          <w:tblHeader w:val="0"/>
        </w:trPr>
        <w:tc>
          <w:tcPr>
            <w:vMerge w:val="continue"/>
            <w:tcBorders>
              <w:left w:color="0563c1" w:space="0" w:sz="6" w:val="single"/>
              <w:bottom w:color="0563c1" w:space="0" w:sz="6" w:val="single"/>
            </w:tcBorders>
            <w:tcMar>
              <w:top w:w="0.0" w:type="dxa"/>
              <w:left w:w="45.0" w:type="dxa"/>
              <w:bottom w:w="0.0" w:type="dxa"/>
              <w:right w:w="45.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ATITLAN</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2"/>
        <w:tblW w:w="7849.0" w:type="dxa"/>
        <w:jc w:val="center"/>
        <w:tblLayout w:type="fixed"/>
        <w:tblLook w:val="0400"/>
      </w:tblPr>
      <w:tblGrid>
        <w:gridCol w:w="3690"/>
        <w:gridCol w:w="1025"/>
        <w:gridCol w:w="1025"/>
        <w:gridCol w:w="1025"/>
        <w:gridCol w:w="1084"/>
        <w:tblGridChange w:id="0">
          <w:tblGrid>
            <w:gridCol w:w="3690"/>
            <w:gridCol w:w="1025"/>
            <w:gridCol w:w="1025"/>
            <w:gridCol w:w="1025"/>
            <w:gridCol w:w="1084"/>
          </w:tblGrid>
        </w:tblGridChange>
      </w:tblGrid>
      <w:tr>
        <w:trPr>
          <w:cantSplit w:val="0"/>
          <w:trHeight w:val="362" w:hRule="atLeast"/>
          <w:tblHeader w:val="0"/>
        </w:trPr>
        <w:tc>
          <w:tcPr>
            <w:gridSpan w:val="5"/>
            <w:tcBorders>
              <w:top w:color="0563c1" w:space="0" w:sz="6" w:val="single"/>
              <w:left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3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w:t>
            </w:r>
          </w:p>
        </w:tc>
        <w:tc>
          <w:tcPr>
            <w:shd w:fill="ffffff" w:val="clear"/>
            <w:tcMar>
              <w:top w:w="0.0" w:type="dxa"/>
              <w:left w:w="45.0" w:type="dxa"/>
              <w:bottom w:w="0.0" w:type="dxa"/>
              <w:right w:w="45.0" w:type="dxa"/>
            </w:tcMar>
            <w:vAlign w:val="center"/>
          </w:tcPr>
          <w:p w:rsidR="00000000" w:rsidDel="00000000" w:rsidP="00000000" w:rsidRDefault="00000000" w:rsidRPr="00000000" w14:paraId="0000007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w:t>
            </w:r>
          </w:p>
        </w:tc>
        <w:tc>
          <w:tcPr>
            <w:shd w:fill="ffffff" w:val="clear"/>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9">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A">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1090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1070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1350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590</w:t>
            </w:r>
          </w:p>
        </w:tc>
      </w:tr>
      <w:tr>
        <w:trPr>
          <w:cantSplit w:val="0"/>
          <w:trHeight w:val="362" w:hRule="atLeast"/>
          <w:tblHeader w:val="0"/>
        </w:trPr>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w:t>
            </w:r>
          </w:p>
        </w:tc>
        <w:tc>
          <w:tcPr>
            <w:shd w:fill="0563c1"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880</w:t>
            </w:r>
          </w:p>
        </w:tc>
        <w:tc>
          <w:tcPr>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w:t>
            </w:r>
          </w:p>
        </w:tc>
        <w:tc>
          <w:tcPr>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1120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1090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1570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590</w:t>
            </w:r>
          </w:p>
        </w:tc>
      </w:tr>
      <w:tr>
        <w:trPr>
          <w:cantSplit w:val="0"/>
          <w:trHeight w:val="362" w:hRule="atLeast"/>
          <w:tblHeader w:val="0"/>
        </w:trPr>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left"/>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 </w:t>
            </w:r>
          </w:p>
        </w:tc>
        <w:tc>
          <w:tcPr>
            <w:shd w:fill="0563c1"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1150</w:t>
            </w:r>
          </w:p>
        </w:tc>
        <w:tc>
          <w:tcPr>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1110</w:t>
            </w:r>
          </w:p>
        </w:tc>
        <w:tc>
          <w:tcPr>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1760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1390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1350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2000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590</w:t>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27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GDL/PTY/GUA/PTY/GDL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255 USD</w:t>
            </w:r>
            <w:r w:rsidDel="00000000" w:rsidR="00000000" w:rsidRPr="00000000">
              <w:rPr>
                <w:rtl w:val="0"/>
              </w:rPr>
            </w:r>
          </w:p>
        </w:tc>
      </w:tr>
      <w:tr>
        <w:trPr>
          <w:cantSplit w:val="0"/>
          <w:trHeight w:val="31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ADICIONAR BOLETO AÉREO GUATEMALA - FLORES - GUATEMALA VIA TAG. 275 USD. POR PERSONA (sujeto a cambio sin previo aviso) NO COMISIONABLE</w:t>
            </w:r>
            <w:r w:rsidDel="00000000" w:rsidR="00000000" w:rsidRPr="00000000">
              <w:rPr>
                <w:rtl w:val="0"/>
              </w:rPr>
            </w:r>
          </w:p>
        </w:tc>
      </w:tr>
      <w:tr>
        <w:trPr>
          <w:cantSplit w:val="0"/>
          <w:trHeight w:val="84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B">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10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TARIFA DE MENOR EN PLAN EUROPEO (SIN ALIMENTOS), SI DESEA INCLUIR LOS DESAYUNOS TIENE UN COSTO DE 21 USD CADA UNO. ESTA POLÍTICA ESTÁ SUJETA A CAMBIOS</w:t>
            </w:r>
          </w:p>
          <w:p w:rsidR="00000000" w:rsidDel="00000000" w:rsidP="00000000" w:rsidRDefault="00000000" w:rsidRPr="00000000" w14:paraId="000000AC">
            <w:pPr>
              <w:spacing w:after="0" w:line="240" w:lineRule="auto"/>
              <w:rPr>
                <w:rFonts w:ascii="Calibri" w:cs="Calibri" w:eastAsia="Calibri" w:hAnsi="Calibri"/>
                <w:color w:val="002060"/>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D">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AE">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766"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B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Gotha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83774307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-748664</wp:posOffset>
          </wp:positionH>
          <wp:positionV relativeFrom="paragraph">
            <wp:posOffset>-459104</wp:posOffset>
          </wp:positionV>
          <wp:extent cx="8711807" cy="1485941"/>
          <wp:effectExtent b="0" l="0" r="0" t="0"/>
          <wp:wrapNone/>
          <wp:docPr id="183774307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5050155</wp:posOffset>
          </wp:positionH>
          <wp:positionV relativeFrom="paragraph">
            <wp:posOffset>-99059</wp:posOffset>
          </wp:positionV>
          <wp:extent cx="1679419" cy="449164"/>
          <wp:effectExtent b="0" l="0" r="0" t="0"/>
          <wp:wrapNone/>
          <wp:docPr id="183774307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79419" cy="4491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-210501</wp:posOffset>
              </wp:positionH>
              <wp:positionV relativeFrom="paragraph">
                <wp:posOffset>-136841</wp:posOffset>
              </wp:positionV>
              <wp:extent cx="5267325" cy="1108075"/>
              <wp:effectExtent b="0" l="0" r="0" t="0"/>
              <wp:wrapNone/>
              <wp:docPr id="1837743075" name=""/>
              <a:graphic>
                <a:graphicData uri="http://schemas.microsoft.com/office/word/2010/wordprocessingShape">
                  <wps:wsp>
                    <wps:cNvSpPr/>
                    <wps:cNvPr id="2" name="Shape 2"/>
                    <wps:spPr>
                      <a:xfrm>
                        <a:off x="2717100" y="3230725"/>
                        <a:ext cx="5257800" cy="109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DESCUBRE GUATEMALA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366- C2026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-210501</wp:posOffset>
              </wp:positionH>
              <wp:positionV relativeFrom="paragraph">
                <wp:posOffset>-136841</wp:posOffset>
              </wp:positionV>
              <wp:extent cx="5267325" cy="1108075"/>
              <wp:effectExtent b="0" l="0" r="0" t="0"/>
              <wp:wrapNone/>
              <wp:docPr id="183774307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267325" cy="1108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3934460</wp:posOffset>
          </wp:positionH>
          <wp:positionV relativeFrom="paragraph">
            <wp:posOffset>140970</wp:posOffset>
          </wp:positionV>
          <wp:extent cx="1339668" cy="683671"/>
          <wp:effectExtent b="0" l="0" r="0" t="0"/>
          <wp:wrapNone/>
          <wp:docPr id="1837743076" name="image4.png"/>
          <a:graphic>
            <a:graphicData uri="http://schemas.openxmlformats.org/drawingml/2006/picture">
              <pic:pic>
                <pic:nvPicPr>
                  <pic:cNvPr id="0" name="image4.png"/>
                  <pic:cNvPicPr preferRelativeResize="0"/>
                </pic:nvPicPr>
                <pic:blipFill>
                  <a:blip r:embed="rId4"/>
                  <a:srcRect b="9445" l="0" r="0" t="13869"/>
                  <a:stretch>
                    <a:fillRect/>
                  </a:stretch>
                </pic:blipFill>
                <pic:spPr>
                  <a:xfrm>
                    <a:off x="0" y="0"/>
                    <a:ext cx="1339668" cy="683671"/>
                  </a:xfrm>
                  <a:prstGeom prst="rect"/>
                  <a:ln/>
                </pic:spPr>
              </pic:pic>
            </a:graphicData>
          </a:graphic>
        </wp:anchor>
      </w:drawing>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paragraph" w:styleId="Textoindependiente">
    <w:name w:val="Body Text"/>
    <w:basedOn w:val="Normal"/>
    <w:link w:val="TextoindependienteCar"/>
    <w:uiPriority w:val="99"/>
    <w:semiHidden w:val="1"/>
    <w:unhideWhenUsed w:val="1"/>
    <w:rsid w:val="00E81848"/>
    <w:pPr>
      <w:spacing w:after="120"/>
    </w:pPr>
    <w:rPr>
      <w:lang w:eastAsia="en-US" w:val="en-US"/>
    </w:rPr>
  </w:style>
  <w:style w:type="character" w:styleId="TextoindependienteCar" w:customStyle="1">
    <w:name w:val="Texto independiente Car"/>
    <w:basedOn w:val="Fuentedeprrafopredeter"/>
    <w:link w:val="Textoindependiente"/>
    <w:uiPriority w:val="99"/>
    <w:semiHidden w:val="1"/>
    <w:rsid w:val="00E81848"/>
    <w:rPr>
      <w:rFonts w:cs="Times New Roman" w:eastAsia="Times New Roman"/>
      <w:lang w:bidi="en-US" w:eastAsia="en-US" w:val="en-US"/>
    </w:rPr>
  </w:style>
  <w:style w:type="character" w:styleId="Mencinsinresolver">
    <w:name w:val="Unresolved Mention"/>
    <w:basedOn w:val="Fuentedeprrafopredeter"/>
    <w:uiPriority w:val="99"/>
    <w:semiHidden w:val="1"/>
    <w:unhideWhenUsed w:val="1"/>
    <w:rsid w:val="00725EC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2kOgCZGJVuKfK568uv87tXyaMg==">CgMxLjAyDmgud2JjdnFvdG5sMGR5OAByITFIaTRKc3lId2Z3SkJmdVBHZ2dZaEhTTjJVbkUzQ1JvVw==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2025-12-08T17:03:00Z</dcterms:created>
  <dc:creator>Operadora</dc:creator>
</cp:coreProperties>
</file>