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883AE61" w:rsidR="007F7B70" w:rsidRPr="0069606A" w:rsidRDefault="009D3226" w:rsidP="00485B13">
      <w:pPr>
        <w:pStyle w:val="Ttulo1"/>
        <w:rPr>
          <w:rStyle w:val="Ttulo-visitaras"/>
          <w:rFonts w:cs="Times New Roman"/>
          <w:b/>
          <w:color w:val="FF0000"/>
          <w:sz w:val="22"/>
          <w:szCs w:val="22"/>
          <w:lang w:val="es-MX"/>
        </w:rPr>
      </w:pPr>
      <w:r w:rsidRPr="0069606A">
        <w:rPr>
          <w:rStyle w:val="Ttulo-visitaras"/>
          <w:rFonts w:cs="Times New Roman"/>
          <w:b/>
          <w:color w:val="FF0000"/>
          <w:sz w:val="22"/>
          <w:szCs w:val="22"/>
          <w:lang w:val="es-MX"/>
        </w:rPr>
        <w:t xml:space="preserve">CAÑON DEL SUMIDERO, </w:t>
      </w:r>
      <w:r w:rsidR="006B6150" w:rsidRPr="0069606A">
        <w:rPr>
          <w:rStyle w:val="Ttulo-visitaras"/>
          <w:rFonts w:cs="Times New Roman"/>
          <w:b/>
          <w:color w:val="FF0000"/>
          <w:sz w:val="22"/>
          <w:szCs w:val="22"/>
          <w:lang w:val="es-MX"/>
        </w:rPr>
        <w:t>LAGOS DE MONTEBELLO, CASCADAS EL CHIFLÓN, ZINACANTÁN, SAN JUAN CHAMULA, CASCADAS DE AGUA AZUL, MISOL HA, PALENQUE, LA VENTA</w:t>
      </w:r>
      <w:r w:rsidR="0069606A" w:rsidRPr="0069606A">
        <w:rPr>
          <w:rStyle w:val="Ttulo-visitaras"/>
          <w:rFonts w:cs="Times New Roman"/>
          <w:b/>
          <w:color w:val="FF0000"/>
          <w:sz w:val="22"/>
          <w:szCs w:val="22"/>
          <w:lang w:val="es-MX"/>
        </w:rPr>
        <w:t xml:space="preserve">, CALAKMUL, BALAMKÚ, EDZNÁ, MUSEO LA VENTA, CD CAMPECHE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952B6B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9606A">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23F960D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69606A">
        <w:rPr>
          <w:rFonts w:asciiTheme="minorHAnsi" w:eastAsia="Arial" w:hAnsiTheme="minorHAnsi" w:cstheme="minorHAnsi"/>
          <w:b/>
          <w:color w:val="002060"/>
          <w:sz w:val="24"/>
          <w:szCs w:val="24"/>
        </w:rPr>
        <w:t xml:space="preserve">Martes y jueves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75EFD532" w:rsidR="00E16326" w:rsidRPr="006B6150" w:rsidRDefault="006B6150" w:rsidP="006B6150">
      <w:pPr>
        <w:pStyle w:val="textos-itinerario"/>
        <w:spacing w:after="0"/>
      </w:pPr>
      <w:r>
        <w:t>¡Bienvenido a Tuxtla Gutiérrez! Comienza tu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3C8C9014" w:rsidR="0048014F" w:rsidRDefault="006B6150" w:rsidP="00273EB7">
      <w:pPr>
        <w:pStyle w:val="textos-itinerario"/>
        <w:spacing w:after="0"/>
        <w:rPr>
          <w:bCs/>
        </w:rPr>
      </w:pPr>
      <w:r w:rsidRPr="006B6150">
        <w:rPr>
          <w:bCs/>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A05258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San Juan Chamula – Zinacantán – </w:t>
      </w:r>
      <w:r w:rsidR="006B6150">
        <w:rPr>
          <w:rFonts w:eastAsia="Arial"/>
          <w:color w:val="EE0000"/>
          <w:sz w:val="24"/>
          <w:szCs w:val="24"/>
        </w:rPr>
        <w:t xml:space="preserve">San Cristobal de las Casas </w:t>
      </w:r>
    </w:p>
    <w:p w14:paraId="66EF02EE" w14:textId="5E6F3894" w:rsidR="009D3226" w:rsidRPr="006B6150" w:rsidRDefault="006B6150" w:rsidP="006B6150">
      <w:pPr>
        <w:pStyle w:val="notas"/>
        <w:spacing w:line="240" w:lineRule="auto"/>
        <w:rPr>
          <w:rStyle w:val="Destacados-textosCar"/>
          <w:bCs/>
          <w:sz w:val="20"/>
        </w:rPr>
      </w:pPr>
      <w:r w:rsidRPr="006B6150">
        <w:rPr>
          <w:rStyle w:val="Destacados-textosCar"/>
          <w:bCs/>
          <w:sz w:val="20"/>
        </w:rPr>
        <w:t>Por la mañana, emprendemos nuestro viaje hacia las comunidades indígenas del grupo étnico Tzotzil, sumergiéndonos en un mundo de tradiciones y cultura única en San Juan Chamula. Aquí, podemos apreciar la fusión de tradiciones contemporáneas y características ancestrales</w:t>
      </w:r>
      <w:r>
        <w:rPr>
          <w:rStyle w:val="Destacados-textosCar"/>
          <w:bCs/>
          <w:sz w:val="20"/>
        </w:rPr>
        <w:t xml:space="preserve">. </w:t>
      </w:r>
      <w:r w:rsidRPr="006B6150">
        <w:rPr>
          <w:rStyle w:val="Destacados-textosCar"/>
          <w:bCs/>
          <w:sz w:val="20"/>
        </w:rPr>
        <w:t>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w:t>
      </w:r>
      <w:r>
        <w:rPr>
          <w:rStyle w:val="Destacados-textosCar"/>
          <w:bCs/>
          <w:sz w:val="20"/>
        </w:rPr>
        <w:t xml:space="preserve"> </w:t>
      </w:r>
      <w:r w:rsidRPr="006B6150">
        <w:rPr>
          <w:rStyle w:val="Destacados-textosCar"/>
          <w:bCs/>
          <w:sz w:val="20"/>
        </w:rPr>
        <w:t>Al finalizar nuestra experiencia en las comunidades indígenas, regresamos a San Cristóbal de Las Casas para descansar</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34C5E1C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Cascadas de Agua Azul – Misol Ha – Zona Arqueológica de Palenque</w:t>
      </w:r>
    </w:p>
    <w:p w14:paraId="506B70AC" w14:textId="515369B1" w:rsidR="00062F3D" w:rsidRPr="006B6150" w:rsidRDefault="006B6150" w:rsidP="006B6150">
      <w:pPr>
        <w:pStyle w:val="notas"/>
        <w:spacing w:line="240" w:lineRule="auto"/>
        <w:rPr>
          <w:rStyle w:val="Destacados-textosCar"/>
          <w:bCs/>
          <w:sz w:val="20"/>
        </w:rPr>
      </w:pPr>
      <w:r w:rsidRPr="006B6150">
        <w:rPr>
          <w:rStyle w:val="Destacados-textosCar"/>
          <w:bCs/>
          <w:sz w:val="20"/>
        </w:rPr>
        <w:t xml:space="preserve">Temprano en la mañana, salimos hacia Palenque, haciendo escala en Agua Azul, un conjunto de cascadas creadas por las corrientes de los ríos Otulún, Shumuljá y Tulijá, formando cañones no muy profundos con acantilados verticales. </w:t>
      </w:r>
      <w:r>
        <w:rPr>
          <w:rStyle w:val="Destacados-textosCar"/>
          <w:bCs/>
          <w:sz w:val="20"/>
        </w:rPr>
        <w:t xml:space="preserve"> </w:t>
      </w:r>
      <w:r w:rsidRPr="006B6150">
        <w:rPr>
          <w:rStyle w:val="Destacados-textosCar"/>
          <w:bCs/>
          <w:sz w:val="20"/>
        </w:rPr>
        <w:t>Después, proseguimos a las cascadas de Misol-Ha, que con sus 30 metros de altura y rodeadas por selva tropical alta, hacen de este un hermoso y refrescante lugar.</w:t>
      </w:r>
      <w:r>
        <w:rPr>
          <w:rStyle w:val="Destacados-textosCar"/>
          <w:bCs/>
          <w:sz w:val="20"/>
        </w:rPr>
        <w:t xml:space="preserve"> </w:t>
      </w:r>
      <w:r w:rsidRPr="006B6150">
        <w:rPr>
          <w:rStyle w:val="Destacados-textosCar"/>
          <w:bCs/>
          <w:sz w:val="20"/>
        </w:rPr>
        <w:t>Al terminar, visitamos el sitio arqueológico de Palenque. Esta ciudad maya destaca por su rica arquitectura y esculturas. Admira sus construcciones, como "El Palacio", "El Templo de la Cruz Foliada", "El Templo del Sol" y más. Finalmente, nos trasladamos al hotel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0164E926"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Museo La Venta – </w:t>
      </w:r>
      <w:r w:rsidR="0069606A">
        <w:rPr>
          <w:rFonts w:eastAsia="Arial"/>
          <w:color w:val="EE0000"/>
          <w:sz w:val="24"/>
          <w:szCs w:val="24"/>
        </w:rPr>
        <w:t xml:space="preserve">Campeche </w:t>
      </w:r>
    </w:p>
    <w:p w14:paraId="0387F9BC" w14:textId="77777777" w:rsidR="0069606A" w:rsidRDefault="0069606A" w:rsidP="006B6150">
      <w:pPr>
        <w:pStyle w:val="notas"/>
        <w:spacing w:line="240" w:lineRule="auto"/>
        <w:rPr>
          <w:rStyle w:val="Destacados-textosCar"/>
          <w:bCs/>
          <w:sz w:val="20"/>
        </w:rPr>
      </w:pPr>
      <w:r w:rsidRPr="0069606A">
        <w:rPr>
          <w:rStyle w:val="Destacados-textosCar"/>
          <w:bCs/>
          <w:sz w:val="20"/>
        </w:rPr>
        <w:t>Salida a las 8:00 hrs. hacia la ciudad de Villahermosa, Tabasco, que se encuentra a 2 hrs. Aproximadamente (152 km, donde visitamos el museo “La Venta”, un lugar lleno de historia y belleza. Allí se encuentra una de las más grandes colecciones de piezas pertenecientes a la Cultura Olmeca, divididas en 4 categorías: altares, estelas, esculturas exentas y las impresionantes</w:t>
      </w:r>
    </w:p>
    <w:p w14:paraId="7C3EA45F" w14:textId="77777777" w:rsidR="0069606A" w:rsidRDefault="0069606A" w:rsidP="006B6150">
      <w:pPr>
        <w:pStyle w:val="notas"/>
        <w:spacing w:line="240" w:lineRule="auto"/>
        <w:rPr>
          <w:rStyle w:val="Destacados-textosCar"/>
          <w:bCs/>
          <w:sz w:val="20"/>
        </w:rPr>
      </w:pPr>
    </w:p>
    <w:p w14:paraId="33E1AB3E" w14:textId="0B7BF7DF" w:rsidR="006B6150" w:rsidRDefault="0069606A" w:rsidP="006B6150">
      <w:pPr>
        <w:pStyle w:val="notas"/>
        <w:spacing w:line="240" w:lineRule="auto"/>
        <w:rPr>
          <w:rStyle w:val="Destacados-textosCar"/>
          <w:b/>
          <w:sz w:val="20"/>
        </w:rPr>
      </w:pPr>
      <w:r w:rsidRPr="0069606A">
        <w:rPr>
          <w:rStyle w:val="Destacados-textosCar"/>
          <w:bCs/>
          <w:sz w:val="20"/>
        </w:rPr>
        <w:t>cabezas colosales. Maravíllate con estas majestuosas obras de la cultura precolombina. Posteriormente continuamos hacia Campeche, alrededor de 8 hrs de trayecto (381 km), dentro de este recorrido apreciaremos la gran diversidad de la flora y fauna, será una experiencia inolvidable. En el camino, haremos una parada para comer en Champotón (comida no incluida). Llegada a Campeche y resto del día libre. Sugerimos acudir al espectáculo de luz y sonido (no incluido)</w:t>
      </w:r>
      <w:r>
        <w:rPr>
          <w:rStyle w:val="Destacados-textosCar"/>
          <w:bCs/>
          <w:sz w:val="20"/>
        </w:rPr>
        <w:t xml:space="preserve">. </w:t>
      </w:r>
      <w:r>
        <w:rPr>
          <w:rStyle w:val="Destacados-textosCar"/>
          <w:b/>
          <w:sz w:val="20"/>
        </w:rPr>
        <w:t>Alojamiento.</w:t>
      </w:r>
    </w:p>
    <w:p w14:paraId="287FA581" w14:textId="77777777" w:rsidR="0069606A" w:rsidRDefault="0069606A" w:rsidP="006B6150">
      <w:pPr>
        <w:pStyle w:val="notas"/>
        <w:spacing w:line="240" w:lineRule="auto"/>
        <w:rPr>
          <w:rStyle w:val="Destacados-textosCar"/>
          <w:b/>
          <w:sz w:val="20"/>
        </w:rPr>
      </w:pPr>
    </w:p>
    <w:p w14:paraId="3258B7AA" w14:textId="1866E69C" w:rsidR="0069606A" w:rsidRPr="00BD0EA5" w:rsidRDefault="0069606A" w:rsidP="0069606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Reserva de la Biosfera de Calakmul – Balamkú – Campeche </w:t>
      </w:r>
      <w:r>
        <w:rPr>
          <w:rFonts w:eastAsia="Arial"/>
          <w:color w:val="EE0000"/>
          <w:sz w:val="24"/>
          <w:szCs w:val="24"/>
        </w:rPr>
        <w:t xml:space="preserve"> </w:t>
      </w:r>
    </w:p>
    <w:p w14:paraId="5C635FDA" w14:textId="3546FB78" w:rsidR="0069606A" w:rsidRDefault="0069606A" w:rsidP="006B6150">
      <w:pPr>
        <w:pStyle w:val="notas"/>
        <w:spacing w:line="240" w:lineRule="auto"/>
        <w:rPr>
          <w:rStyle w:val="Destacados-textosCar"/>
          <w:b/>
          <w:sz w:val="20"/>
        </w:rPr>
      </w:pPr>
      <w:r w:rsidRPr="0069606A">
        <w:rPr>
          <w:rStyle w:val="Destacados-textosCar"/>
          <w:bCs/>
          <w:sz w:val="20"/>
        </w:rPr>
        <w:t>Box lunch. Salida aproximada a las 5:00 hrs.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Balamkú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hrs aproximadamente</w:t>
      </w:r>
      <w:r>
        <w:rPr>
          <w:rStyle w:val="Destacados-textosCar"/>
          <w:bCs/>
          <w:sz w:val="20"/>
        </w:rPr>
        <w:t xml:space="preserve">. </w:t>
      </w:r>
      <w:r>
        <w:rPr>
          <w:rStyle w:val="Destacados-textosCar"/>
          <w:b/>
          <w:sz w:val="20"/>
        </w:rPr>
        <w:t xml:space="preserve">Alojamiento. </w:t>
      </w:r>
    </w:p>
    <w:p w14:paraId="0738A7AF" w14:textId="77777777" w:rsidR="0069606A" w:rsidRDefault="0069606A" w:rsidP="006B6150">
      <w:pPr>
        <w:pStyle w:val="notas"/>
        <w:spacing w:line="240" w:lineRule="auto"/>
        <w:rPr>
          <w:rStyle w:val="Destacados-textosCar"/>
          <w:b/>
          <w:sz w:val="20"/>
        </w:rPr>
      </w:pPr>
    </w:p>
    <w:p w14:paraId="37F7989D" w14:textId="6AD94ACE" w:rsidR="0069606A" w:rsidRPr="00BD0EA5" w:rsidRDefault="0069606A" w:rsidP="0069606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Pr>
          <w:rFonts w:eastAsia="Arial"/>
          <w:color w:val="EE0000"/>
          <w:sz w:val="24"/>
          <w:szCs w:val="24"/>
        </w:rPr>
        <w:t xml:space="preserve">Zona Arqueológica de Edzná – Campeche  </w:t>
      </w:r>
    </w:p>
    <w:p w14:paraId="1DD43FD6" w14:textId="57E44F6A" w:rsidR="008D3EBF" w:rsidRDefault="0069606A" w:rsidP="00BE357F">
      <w:pPr>
        <w:pStyle w:val="notas"/>
        <w:spacing w:line="240" w:lineRule="auto"/>
        <w:rPr>
          <w:rStyle w:val="Destacados-textosCar"/>
          <w:b/>
          <w:sz w:val="20"/>
        </w:rPr>
      </w:pPr>
      <w:r w:rsidRPr="0069606A">
        <w:rPr>
          <w:rStyle w:val="Destacados-textosCar"/>
          <w:bCs/>
          <w:sz w:val="20"/>
        </w:rPr>
        <w:t>A las 09.00 hrs. iniciaremos nuestro recorrido por la zona arqueológica de Edzná, situada aproximadamente a 45 min (53 km) al sureste de Campeche, Edzná es una de las ciudades más antiguas de Campeche y que fue durante su esplendor una de las más importantes del área maya. Se puede admirar su variedad en arquitectura y temporalidades constructivas coronadas por su Templo Pirámide de los Cinco Pisos, su plaza principal, juego de pelota y Nohoch Ná, muestras de la arquitectura Petén, Chenes, Río Bec y Puuc. Al término de nuestro recorrido regreso al hotel. Llegada a su hotel a las 13:00 hrs. Resto del día libre.</w:t>
      </w:r>
      <w:r>
        <w:rPr>
          <w:rStyle w:val="Destacados-textosCar"/>
          <w:bCs/>
          <w:sz w:val="20"/>
        </w:rPr>
        <w:t xml:space="preserve"> </w:t>
      </w:r>
      <w:r>
        <w:rPr>
          <w:rStyle w:val="Destacados-textosCar"/>
          <w:b/>
          <w:sz w:val="20"/>
        </w:rPr>
        <w:t>Alojamiento.</w:t>
      </w:r>
    </w:p>
    <w:p w14:paraId="39AB7F25" w14:textId="77777777" w:rsidR="0069606A" w:rsidRDefault="0069606A" w:rsidP="00BE357F">
      <w:pPr>
        <w:pStyle w:val="notas"/>
        <w:spacing w:line="240" w:lineRule="auto"/>
        <w:rPr>
          <w:rStyle w:val="Destacados-textosCar"/>
          <w:b/>
          <w:sz w:val="20"/>
        </w:rPr>
      </w:pPr>
    </w:p>
    <w:p w14:paraId="21EA5918" w14:textId="72728D6F" w:rsidR="0069606A" w:rsidRPr="00BD0EA5" w:rsidRDefault="0069606A" w:rsidP="0069606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w:t>
      </w:r>
    </w:p>
    <w:p w14:paraId="4DE6A997" w14:textId="03438654" w:rsidR="0069606A" w:rsidRDefault="0069606A" w:rsidP="00BE357F">
      <w:pPr>
        <w:pStyle w:val="notas"/>
        <w:spacing w:line="240" w:lineRule="auto"/>
        <w:rPr>
          <w:rStyle w:val="Destacados-textosCar"/>
          <w:b/>
          <w:sz w:val="20"/>
        </w:rPr>
      </w:pPr>
      <w:r w:rsidRPr="0069606A">
        <w:rPr>
          <w:rStyle w:val="Destacados-textosCar"/>
          <w:bCs/>
          <w:sz w:val="20"/>
        </w:rPr>
        <w:t xml:space="preserve">Salida de su hotel a las 09:00 hrs. para iniciar el recorrido panorámico por la ciudad llena de casonas coloniales, fortalezas, museos y leyendas. Visitaremos la Ciudad amurallada con su Plaza, el Fuerte de San Miguel, San José, la Catedral, la Plaza Independencia, el Baluarte de San Carlos, la Puerta de Tierra, la Iglesia de San Román, Casa 6, entre otros. Llegada a su hotel aproximadamente a las 13:30 hrs. A la hora prevista, traslado al aeropuerto para tomar su vuelo de regreso. </w:t>
      </w:r>
      <w:r>
        <w:rPr>
          <w:rStyle w:val="Destacados-textosCar"/>
          <w:b/>
          <w:sz w:val="20"/>
        </w:rPr>
        <w:t xml:space="preserve">FIN DE LOS SERVICIOS. </w:t>
      </w:r>
    </w:p>
    <w:p w14:paraId="4911C0CD" w14:textId="77777777" w:rsidR="0069606A" w:rsidRPr="0069606A" w:rsidRDefault="0069606A" w:rsidP="00BE357F">
      <w:pPr>
        <w:pStyle w:val="notas"/>
        <w:spacing w:line="240" w:lineRule="auto"/>
        <w:rPr>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2BC15F" w14:textId="1F5E0F0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Transportación terrestre en vehículos con aire acondicionado</w:t>
      </w:r>
    </w:p>
    <w:p w14:paraId="58A64C13" w14:textId="49432530"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Chofer /operador en Español.</w:t>
      </w:r>
    </w:p>
    <w:p w14:paraId="7EC16AC3" w14:textId="1BF3D98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 xml:space="preserve">Todas las entradas a Parques y Monumentos </w:t>
      </w:r>
    </w:p>
    <w:p w14:paraId="5D29B053" w14:textId="3427DB4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en lancha al Parque Nacional Cañón del Sumidero</w:t>
      </w:r>
    </w:p>
    <w:p w14:paraId="235E592A" w14:textId="2CCC49E1"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al Parque Nacional Lagunas de Montebello</w:t>
      </w:r>
    </w:p>
    <w:p w14:paraId="758F6125" w14:textId="593D04A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Cascada Chiflón</w:t>
      </w:r>
    </w:p>
    <w:p w14:paraId="188EADD2" w14:textId="5842C122"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San Juan Chamula</w:t>
      </w:r>
    </w:p>
    <w:p w14:paraId="34AF21FD" w14:textId="32DDE943"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Zinacantán</w:t>
      </w:r>
    </w:p>
    <w:p w14:paraId="3DB7B270" w14:textId="064A740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City tour a Pie en San Cristóbal</w:t>
      </w:r>
    </w:p>
    <w:p w14:paraId="4B45501F" w14:textId="29DCB14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las Cascadas de Agua azul</w:t>
      </w:r>
    </w:p>
    <w:p w14:paraId="3D1FA282" w14:textId="1289463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 Cascada de Misol-ha</w:t>
      </w:r>
    </w:p>
    <w:p w14:paraId="01AA28A0" w14:textId="37583F0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Zona Arqueológica de Palenque</w:t>
      </w:r>
    </w:p>
    <w:p w14:paraId="77E53BF7" w14:textId="4D43D36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Parque Museo La Venta</w:t>
      </w:r>
    </w:p>
    <w:p w14:paraId="303A7BA0" w14:textId="7939D8F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llegada (aeropuerto, Hotel o Central de Autobuses)</w:t>
      </w:r>
    </w:p>
    <w:p w14:paraId="4EA5891C" w14:textId="451F6E2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Salida (Aeropuerto, Hotel)</w:t>
      </w:r>
    </w:p>
    <w:p w14:paraId="3F89C4CC" w14:textId="5C6934B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Tour en lancha compartida en el río Grijalva</w:t>
      </w:r>
    </w:p>
    <w:p w14:paraId="234FA6D8" w14:textId="653E2834" w:rsid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3 noches de alojamiento en San Cristóbal de Las Casas</w:t>
      </w:r>
      <w:r w:rsidR="0069606A">
        <w:rPr>
          <w:rFonts w:asciiTheme="minorHAnsi" w:eastAsia="Arial" w:hAnsiTheme="minorHAnsi" w:cstheme="minorHAnsi"/>
          <w:color w:val="002060"/>
          <w:sz w:val="20"/>
          <w:szCs w:val="20"/>
        </w:rPr>
        <w:t xml:space="preserve"> </w:t>
      </w:r>
      <w:r w:rsidR="0069606A" w:rsidRPr="0069606A">
        <w:rPr>
          <w:rFonts w:asciiTheme="minorHAnsi" w:eastAsia="Arial" w:hAnsiTheme="minorHAnsi" w:cstheme="minorHAnsi"/>
          <w:color w:val="002060"/>
          <w:sz w:val="20"/>
          <w:szCs w:val="20"/>
        </w:rPr>
        <w:t>y 3 en Campeche</w:t>
      </w:r>
    </w:p>
    <w:p w14:paraId="175026C7" w14:textId="77777777" w:rsidR="0069606A" w:rsidRPr="006B6150" w:rsidRDefault="0069606A" w:rsidP="0069606A">
      <w:pPr>
        <w:pStyle w:val="Prrafodelista"/>
        <w:spacing w:after="0" w:line="240" w:lineRule="auto"/>
        <w:jc w:val="both"/>
        <w:rPr>
          <w:rFonts w:asciiTheme="minorHAnsi" w:eastAsia="Arial" w:hAnsiTheme="minorHAnsi" w:cstheme="minorHAnsi"/>
          <w:color w:val="002060"/>
          <w:sz w:val="20"/>
          <w:szCs w:val="20"/>
        </w:rPr>
      </w:pPr>
    </w:p>
    <w:p w14:paraId="41C0730D" w14:textId="453DAA78"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1 noche de alojamiento en hotel palenque.</w:t>
      </w:r>
    </w:p>
    <w:p w14:paraId="56E6D2C3" w14:textId="430C2CCC" w:rsidR="00C82D41"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Asistencia a la llegada al Aeropuerto de Tuxtla Gutiérrez</w:t>
      </w:r>
    </w:p>
    <w:p w14:paraId="6CEEFCCA" w14:textId="77777777" w:rsidR="0069606A" w:rsidRPr="0069606A" w:rsidRDefault="0069606A" w:rsidP="0069606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9606A">
        <w:rPr>
          <w:rFonts w:asciiTheme="minorHAnsi" w:eastAsia="Arial" w:hAnsiTheme="minorHAnsi" w:cstheme="minorHAnsi"/>
          <w:color w:val="002060"/>
          <w:sz w:val="20"/>
          <w:szCs w:val="20"/>
        </w:rPr>
        <w:t>Visita a la Zona Arqueológica de Calakmul, Balamkú y Edzná</w:t>
      </w:r>
    </w:p>
    <w:p w14:paraId="21A92C73" w14:textId="2764B6D6" w:rsidR="0069606A" w:rsidRDefault="0069606A" w:rsidP="0069606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9606A">
        <w:rPr>
          <w:rFonts w:asciiTheme="minorHAnsi" w:eastAsia="Arial" w:hAnsiTheme="minorHAnsi" w:cstheme="minorHAnsi"/>
          <w:color w:val="002060"/>
          <w:sz w:val="20"/>
          <w:szCs w:val="20"/>
        </w:rPr>
        <w:t>Visita panorámica por la Ciudad de Campeche</w:t>
      </w:r>
    </w:p>
    <w:p w14:paraId="3776EE6C" w14:textId="477B49C9" w:rsidR="0069606A" w:rsidRDefault="0069606A" w:rsidP="0069606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9606A">
        <w:rPr>
          <w:rFonts w:asciiTheme="minorHAnsi" w:eastAsia="Arial" w:hAnsiTheme="minorHAnsi" w:cstheme="minorHAnsi"/>
          <w:color w:val="002060"/>
          <w:sz w:val="20"/>
          <w:szCs w:val="20"/>
        </w:rPr>
        <w:t>1 box lunch y 1 comida</w:t>
      </w:r>
    </w:p>
    <w:p w14:paraId="55779BB2" w14:textId="6DA4B1B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5BB790F" w14:textId="084C48DB" w:rsidR="0069606A" w:rsidRPr="0069606A" w:rsidRDefault="00062F3D" w:rsidP="0069606A">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La llegada a Tuxtla Gutiérrez debe ser antes de las 13:00 hrs. y la salida dentro de los horarios que se menciona dentro del itinerario, de lo contrario aplica suplemento.</w:t>
      </w:r>
      <w:r w:rsidR="0069606A">
        <w:rPr>
          <w:rFonts w:asciiTheme="minorHAnsi" w:eastAsia="Arial" w:hAnsiTheme="minorHAnsi" w:cstheme="minorHAnsi"/>
          <w:color w:val="002060"/>
          <w:sz w:val="20"/>
          <w:szCs w:val="20"/>
        </w:rPr>
        <w:t xml:space="preserve"> </w:t>
      </w:r>
      <w:r w:rsidR="0069606A" w:rsidRPr="0069606A">
        <w:rPr>
          <w:rFonts w:asciiTheme="minorHAnsi" w:eastAsia="Arial" w:hAnsiTheme="minorHAnsi" w:cstheme="minorHAnsi"/>
          <w:color w:val="002060"/>
          <w:sz w:val="20"/>
          <w:szCs w:val="20"/>
        </w:rPr>
        <w:t>El vuelo de salida en Campeche debe ser después de las 16:00 hrs.</w:t>
      </w:r>
    </w:p>
    <w:p w14:paraId="5B3C750F" w14:textId="77777777" w:rsidR="00062F3D" w:rsidRPr="00062F3D" w:rsidRDefault="00062F3D" w:rsidP="0069606A">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69606A">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69606A">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69606A">
      <w:pPr>
        <w:spacing w:after="0" w:line="240" w:lineRule="auto"/>
        <w:ind w:left="720" w:hanging="720"/>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2F792899"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56EAF" w:rsidRPr="006835E6" w14:paraId="1230A067" w14:textId="77777777" w:rsidTr="00B56EAF">
        <w:trPr>
          <w:trHeight w:val="284"/>
          <w:tblCellSpacing w:w="0" w:type="dxa"/>
          <w:jc w:val="center"/>
        </w:trPr>
        <w:tc>
          <w:tcPr>
            <w:tcW w:w="1268" w:type="dxa"/>
            <w:tcMar>
              <w:top w:w="0" w:type="dxa"/>
              <w:left w:w="45" w:type="dxa"/>
              <w:bottom w:w="0" w:type="dxa"/>
              <w:right w:w="45" w:type="dxa"/>
            </w:tcMar>
            <w:vAlign w:val="bottom"/>
          </w:tcPr>
          <w:p w14:paraId="11726F8D" w14:textId="2699516C"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tcMar>
              <w:top w:w="0" w:type="dxa"/>
              <w:left w:w="45" w:type="dxa"/>
              <w:bottom w:w="0" w:type="dxa"/>
              <w:right w:w="45" w:type="dxa"/>
            </w:tcMar>
            <w:vAlign w:val="bottom"/>
          </w:tcPr>
          <w:p w14:paraId="6E2E2A18" w14:textId="3196974D"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CRISTOBAL</w:t>
            </w:r>
          </w:p>
        </w:tc>
        <w:tc>
          <w:tcPr>
            <w:tcW w:w="5479" w:type="dxa"/>
            <w:tcMar>
              <w:top w:w="0" w:type="dxa"/>
              <w:left w:w="45" w:type="dxa"/>
              <w:bottom w:w="0" w:type="dxa"/>
              <w:right w:w="45" w:type="dxa"/>
            </w:tcMar>
            <w:vAlign w:val="bottom"/>
          </w:tcPr>
          <w:p w14:paraId="7C11CB8F" w14:textId="4357F909"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TEPEYAC / MANSIÓN DE LOS ANGELES</w:t>
            </w:r>
          </w:p>
        </w:tc>
        <w:tc>
          <w:tcPr>
            <w:tcW w:w="698" w:type="dxa"/>
            <w:vMerge w:val="restart"/>
            <w:tcMar>
              <w:top w:w="0" w:type="dxa"/>
              <w:left w:w="45" w:type="dxa"/>
              <w:bottom w:w="0" w:type="dxa"/>
              <w:right w:w="45" w:type="dxa"/>
            </w:tcMar>
            <w:vAlign w:val="bottom"/>
          </w:tcPr>
          <w:p w14:paraId="51BB1C11" w14:textId="20F9947B"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56EAF" w:rsidRPr="006835E6" w14:paraId="6C78715C" w14:textId="77777777" w:rsidTr="00B56EAF">
        <w:trPr>
          <w:trHeight w:val="284"/>
          <w:tblCellSpacing w:w="0" w:type="dxa"/>
          <w:jc w:val="center"/>
        </w:trPr>
        <w:tc>
          <w:tcPr>
            <w:tcW w:w="1268" w:type="dxa"/>
            <w:tcMar>
              <w:top w:w="0" w:type="dxa"/>
              <w:left w:w="45" w:type="dxa"/>
              <w:bottom w:w="0" w:type="dxa"/>
              <w:right w:w="45" w:type="dxa"/>
            </w:tcMar>
            <w:vAlign w:val="bottom"/>
          </w:tcPr>
          <w:p w14:paraId="1A57F3F7" w14:textId="62D55388"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3B370C85" w14:textId="267F61E9"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PALENQUE</w:t>
            </w:r>
          </w:p>
        </w:tc>
        <w:tc>
          <w:tcPr>
            <w:tcW w:w="5479" w:type="dxa"/>
            <w:tcMar>
              <w:top w:w="0" w:type="dxa"/>
              <w:left w:w="45" w:type="dxa"/>
              <w:bottom w:w="0" w:type="dxa"/>
              <w:right w:w="45" w:type="dxa"/>
            </w:tcMar>
            <w:vAlign w:val="bottom"/>
          </w:tcPr>
          <w:p w14:paraId="49E81039" w14:textId="1D2A97A0"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MAYA TULIPANES EXPRESS / VILLAS KIN – HA </w:t>
            </w:r>
          </w:p>
        </w:tc>
        <w:tc>
          <w:tcPr>
            <w:tcW w:w="698" w:type="dxa"/>
            <w:vMerge/>
            <w:tcMar>
              <w:top w:w="0" w:type="dxa"/>
              <w:left w:w="45" w:type="dxa"/>
              <w:bottom w:w="0" w:type="dxa"/>
              <w:right w:w="45" w:type="dxa"/>
            </w:tcMar>
            <w:vAlign w:val="bottom"/>
          </w:tcPr>
          <w:p w14:paraId="66C3469A" w14:textId="77777777"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p>
        </w:tc>
      </w:tr>
      <w:tr w:rsidR="00B56EAF" w:rsidRPr="006835E6" w14:paraId="251E2BD5" w14:textId="77777777" w:rsidTr="00B56EAF">
        <w:trPr>
          <w:trHeight w:val="284"/>
          <w:tblCellSpacing w:w="0" w:type="dxa"/>
          <w:jc w:val="center"/>
        </w:trPr>
        <w:tc>
          <w:tcPr>
            <w:tcW w:w="1268" w:type="dxa"/>
            <w:tcMar>
              <w:top w:w="0" w:type="dxa"/>
              <w:left w:w="45" w:type="dxa"/>
              <w:bottom w:w="0" w:type="dxa"/>
              <w:right w:w="45" w:type="dxa"/>
            </w:tcMar>
            <w:vAlign w:val="bottom"/>
          </w:tcPr>
          <w:p w14:paraId="3708091C" w14:textId="2CF26432"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tcMar>
              <w:top w:w="0" w:type="dxa"/>
              <w:left w:w="45" w:type="dxa"/>
              <w:bottom w:w="0" w:type="dxa"/>
              <w:right w:w="45" w:type="dxa"/>
            </w:tcMar>
            <w:vAlign w:val="bottom"/>
          </w:tcPr>
          <w:p w14:paraId="4A523A88" w14:textId="37ECB1A3"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CAMPECHE</w:t>
            </w:r>
          </w:p>
        </w:tc>
        <w:tc>
          <w:tcPr>
            <w:tcW w:w="5479" w:type="dxa"/>
            <w:tcMar>
              <w:top w:w="0" w:type="dxa"/>
              <w:left w:w="45" w:type="dxa"/>
              <w:bottom w:w="0" w:type="dxa"/>
              <w:right w:w="45" w:type="dxa"/>
            </w:tcMar>
            <w:vAlign w:val="bottom"/>
          </w:tcPr>
          <w:p w14:paraId="4F9C588F" w14:textId="5FF3CA00"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CITY EXPRESS CAMPECHE </w:t>
            </w:r>
          </w:p>
        </w:tc>
        <w:tc>
          <w:tcPr>
            <w:tcW w:w="698" w:type="dxa"/>
            <w:vMerge/>
            <w:tcMar>
              <w:top w:w="0" w:type="dxa"/>
              <w:left w:w="45" w:type="dxa"/>
              <w:bottom w:w="0" w:type="dxa"/>
              <w:right w:w="45" w:type="dxa"/>
            </w:tcMar>
            <w:vAlign w:val="bottom"/>
          </w:tcPr>
          <w:p w14:paraId="3BFE4808" w14:textId="77777777" w:rsidR="00B56EAF" w:rsidRPr="00B56EAF" w:rsidRDefault="00B56EAF" w:rsidP="00A455A6">
            <w:pPr>
              <w:spacing w:after="0" w:line="240" w:lineRule="auto"/>
              <w:jc w:val="center"/>
              <w:rPr>
                <w:rFonts w:asciiTheme="minorHAnsi" w:hAnsiTheme="minorHAnsi" w:cstheme="minorHAnsi"/>
                <w:b/>
                <w:bCs/>
                <w:color w:val="002060"/>
                <w:sz w:val="20"/>
                <w:szCs w:val="20"/>
                <w:lang w:bidi="ar-SA"/>
              </w:rPr>
            </w:pP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46FDBF7D" w14:textId="77777777" w:rsidR="0069606A" w:rsidRDefault="0069606A">
      <w:pPr>
        <w:spacing w:after="0" w:line="240" w:lineRule="auto"/>
        <w:jc w:val="both"/>
        <w:rPr>
          <w:rFonts w:asciiTheme="minorHAnsi" w:eastAsia="Arial" w:hAnsiTheme="minorHAnsi" w:cstheme="minorHAnsi"/>
          <w:color w:val="002060"/>
          <w:sz w:val="20"/>
          <w:szCs w:val="20"/>
        </w:rPr>
      </w:pPr>
    </w:p>
    <w:p w14:paraId="392DC975" w14:textId="77777777" w:rsidR="0069606A" w:rsidRDefault="0069606A">
      <w:pPr>
        <w:spacing w:after="0" w:line="240" w:lineRule="auto"/>
        <w:jc w:val="both"/>
        <w:rPr>
          <w:rFonts w:asciiTheme="minorHAnsi" w:eastAsia="Arial" w:hAnsiTheme="minorHAnsi" w:cstheme="minorHAnsi"/>
          <w:color w:val="002060"/>
          <w:sz w:val="20"/>
          <w:szCs w:val="20"/>
        </w:rPr>
      </w:pPr>
    </w:p>
    <w:p w14:paraId="4DD3F47F" w14:textId="77777777" w:rsidR="00B56EAF" w:rsidRDefault="00B56EAF">
      <w:pPr>
        <w:spacing w:after="0" w:line="240" w:lineRule="auto"/>
        <w:jc w:val="both"/>
        <w:rPr>
          <w:rFonts w:asciiTheme="minorHAnsi" w:eastAsia="Arial" w:hAnsiTheme="minorHAnsi" w:cstheme="minorHAnsi"/>
          <w:color w:val="002060"/>
          <w:sz w:val="20"/>
          <w:szCs w:val="20"/>
        </w:rPr>
      </w:pPr>
    </w:p>
    <w:p w14:paraId="5373BCB9" w14:textId="77777777" w:rsidR="00B56EAF" w:rsidRDefault="00B56EAF">
      <w:pPr>
        <w:spacing w:after="0" w:line="240" w:lineRule="auto"/>
        <w:jc w:val="both"/>
        <w:rPr>
          <w:rFonts w:asciiTheme="minorHAnsi" w:eastAsia="Arial" w:hAnsiTheme="minorHAnsi" w:cstheme="minorHAnsi"/>
          <w:color w:val="002060"/>
          <w:sz w:val="20"/>
          <w:szCs w:val="20"/>
        </w:rPr>
      </w:pPr>
    </w:p>
    <w:p w14:paraId="217A6778" w14:textId="77777777" w:rsidR="0069606A" w:rsidRDefault="0069606A">
      <w:pPr>
        <w:spacing w:after="0" w:line="240" w:lineRule="auto"/>
        <w:jc w:val="both"/>
        <w:rPr>
          <w:rFonts w:asciiTheme="minorHAnsi" w:eastAsia="Arial" w:hAnsiTheme="minorHAnsi" w:cstheme="minorHAnsi"/>
          <w:color w:val="002060"/>
          <w:sz w:val="20"/>
          <w:szCs w:val="20"/>
        </w:rPr>
      </w:pPr>
    </w:p>
    <w:p w14:paraId="074E886F" w14:textId="77777777" w:rsidR="0069606A" w:rsidRDefault="0069606A">
      <w:pPr>
        <w:spacing w:after="0" w:line="240" w:lineRule="auto"/>
        <w:jc w:val="both"/>
        <w:rPr>
          <w:rFonts w:asciiTheme="minorHAnsi" w:eastAsia="Arial" w:hAnsiTheme="minorHAnsi" w:cstheme="minorHAnsi"/>
          <w:color w:val="002060"/>
          <w:sz w:val="20"/>
          <w:szCs w:val="20"/>
        </w:rPr>
      </w:pPr>
    </w:p>
    <w:p w14:paraId="7E48B5BA" w14:textId="77777777" w:rsidR="0069606A" w:rsidRDefault="0069606A">
      <w:pPr>
        <w:spacing w:after="0" w:line="240" w:lineRule="auto"/>
        <w:jc w:val="both"/>
        <w:rPr>
          <w:rFonts w:asciiTheme="minorHAnsi" w:eastAsia="Arial" w:hAnsiTheme="minorHAnsi" w:cstheme="minorHAnsi"/>
          <w:color w:val="002060"/>
          <w:sz w:val="20"/>
          <w:szCs w:val="20"/>
        </w:rPr>
      </w:pPr>
    </w:p>
    <w:p w14:paraId="6AA3945D" w14:textId="77777777" w:rsidR="0069606A" w:rsidRDefault="0069606A">
      <w:pPr>
        <w:spacing w:after="0" w:line="240" w:lineRule="auto"/>
        <w:jc w:val="both"/>
        <w:rPr>
          <w:rFonts w:asciiTheme="minorHAnsi" w:eastAsia="Arial" w:hAnsiTheme="minorHAnsi" w:cstheme="minorHAnsi"/>
          <w:color w:val="002060"/>
          <w:sz w:val="20"/>
          <w:szCs w:val="20"/>
        </w:rPr>
      </w:pPr>
    </w:p>
    <w:p w14:paraId="5AEA07F5" w14:textId="77777777" w:rsidR="0069606A" w:rsidRDefault="0069606A">
      <w:pPr>
        <w:spacing w:after="0" w:line="240" w:lineRule="auto"/>
        <w:jc w:val="both"/>
        <w:rPr>
          <w:rFonts w:asciiTheme="minorHAnsi" w:eastAsia="Arial" w:hAnsiTheme="minorHAnsi" w:cstheme="minorHAnsi"/>
          <w:color w:val="002060"/>
          <w:sz w:val="20"/>
          <w:szCs w:val="20"/>
        </w:rPr>
      </w:pPr>
    </w:p>
    <w:p w14:paraId="39A9DCF1" w14:textId="77777777" w:rsidR="0069606A" w:rsidRDefault="0069606A">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8EE6DD6" w:rsidR="00F37F89" w:rsidRPr="00A0012D" w:rsidRDefault="00B56EA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24140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E100A8C" w:rsidR="00F37F89" w:rsidRPr="00A0012D" w:rsidRDefault="00B56EA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0C893FA6" w:rsidR="00F37F89" w:rsidRPr="00A0012D" w:rsidRDefault="00B56EA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22370</w:t>
            </w:r>
          </w:p>
        </w:tc>
        <w:tc>
          <w:tcPr>
            <w:tcW w:w="1125" w:type="dxa"/>
            <w:tcBorders>
              <w:bottom w:val="single" w:sz="6" w:space="0" w:color="000000"/>
              <w:right w:val="single" w:sz="6" w:space="0" w:color="000000"/>
            </w:tcBorders>
          </w:tcPr>
          <w:p w14:paraId="27FDF9F7" w14:textId="7263E901" w:rsidR="00F37F89" w:rsidRPr="00A0012D" w:rsidRDefault="00B56EA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36390</w:t>
            </w:r>
          </w:p>
        </w:tc>
        <w:tc>
          <w:tcPr>
            <w:tcW w:w="1710" w:type="dxa"/>
            <w:tcBorders>
              <w:bottom w:val="single" w:sz="6" w:space="0" w:color="000000"/>
              <w:right w:val="single" w:sz="6" w:space="0" w:color="000000"/>
            </w:tcBorders>
          </w:tcPr>
          <w:p w14:paraId="556B2E9A" w14:textId="7C5B9364" w:rsidR="00F37F89" w:rsidRPr="00A0012D" w:rsidRDefault="00B56EA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15790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203" w:type="dxa"/>
        <w:tblCellSpacing w:w="0" w:type="dxa"/>
        <w:tblInd w:w="428" w:type="dxa"/>
        <w:tblLayout w:type="fixed"/>
        <w:tblCellMar>
          <w:left w:w="0" w:type="dxa"/>
          <w:right w:w="0" w:type="dxa"/>
        </w:tblCellMar>
        <w:tblLook w:val="04A0" w:firstRow="1" w:lastRow="0" w:firstColumn="1" w:lastColumn="0" w:noHBand="0" w:noVBand="1"/>
      </w:tblPr>
      <w:tblGrid>
        <w:gridCol w:w="2451"/>
        <w:gridCol w:w="1379"/>
        <w:gridCol w:w="1379"/>
        <w:gridCol w:w="1684"/>
        <w:gridCol w:w="1215"/>
        <w:gridCol w:w="1095"/>
      </w:tblGrid>
      <w:tr w:rsidR="00B56EAF" w:rsidRPr="001934F5" w14:paraId="7518D97C" w14:textId="77777777" w:rsidTr="00B56EAF">
        <w:trPr>
          <w:trHeight w:val="236"/>
          <w:tblCellSpacing w:w="0" w:type="dxa"/>
        </w:trPr>
        <w:tc>
          <w:tcPr>
            <w:tcW w:w="9203"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380363CF" w14:textId="77777777" w:rsidR="00B56EAF" w:rsidRPr="001934F5" w:rsidRDefault="00B56EAF" w:rsidP="00C67567">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B56EAF" w14:paraId="53E97C11" w14:textId="77777777" w:rsidTr="00B56EAF">
        <w:trPr>
          <w:trHeight w:val="259"/>
          <w:tblCellSpacing w:w="0" w:type="dxa"/>
        </w:trPr>
        <w:tc>
          <w:tcPr>
            <w:tcW w:w="9203"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555C605C" w14:textId="6229C3CA" w:rsidR="00B56EAF" w:rsidRDefault="00B56EAF" w:rsidP="00C6756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w:t>
            </w:r>
            <w:r>
              <w:rPr>
                <w:rFonts w:asciiTheme="minorHAnsi" w:hAnsiTheme="minorHAnsi" w:cstheme="minorHAnsi"/>
                <w:b/>
                <w:bCs/>
                <w:color w:val="FFFFFF" w:themeColor="background1"/>
                <w:sz w:val="20"/>
                <w:szCs w:val="20"/>
                <w:lang w:bidi="ar-SA"/>
              </w:rPr>
              <w:t>ALTA</w:t>
            </w:r>
          </w:p>
        </w:tc>
      </w:tr>
      <w:tr w:rsidR="00B56EAF" w:rsidRPr="0034388B" w14:paraId="46DDC335" w14:textId="77777777" w:rsidTr="00B56EAF">
        <w:trPr>
          <w:trHeight w:val="248"/>
          <w:tblCellSpacing w:w="0" w:type="dxa"/>
        </w:trPr>
        <w:tc>
          <w:tcPr>
            <w:tcW w:w="2451"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F497F6D" w14:textId="77777777" w:rsidR="00B56EAF" w:rsidRPr="0034388B" w:rsidRDefault="00B56EAF" w:rsidP="00C67567">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37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1AA5DFB" w14:textId="77777777" w:rsidR="00B56EAF" w:rsidRPr="0034388B" w:rsidRDefault="00B56EAF" w:rsidP="00C67567">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37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FE41071" w14:textId="77777777" w:rsidR="00B56EAF" w:rsidRPr="0034388B" w:rsidRDefault="00B56EAF" w:rsidP="00C67567">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68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57A9F9" w14:textId="77777777" w:rsidR="00B56EAF" w:rsidRPr="0034388B" w:rsidRDefault="00B56EAF" w:rsidP="00C67567">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215" w:type="dxa"/>
            <w:tcBorders>
              <w:bottom w:val="single" w:sz="6" w:space="0" w:color="000000"/>
              <w:right w:val="single" w:sz="6" w:space="0" w:color="000000"/>
            </w:tcBorders>
            <w:shd w:val="clear" w:color="auto" w:fill="D9D9D9"/>
          </w:tcPr>
          <w:p w14:paraId="1D20A2A1" w14:textId="77777777" w:rsidR="00B56EAF" w:rsidRPr="0034388B" w:rsidRDefault="00B56EAF" w:rsidP="00C67567">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095" w:type="dxa"/>
            <w:tcBorders>
              <w:bottom w:val="single" w:sz="6" w:space="0" w:color="000000"/>
              <w:right w:val="single" w:sz="6" w:space="0" w:color="000000"/>
            </w:tcBorders>
            <w:shd w:val="clear" w:color="auto" w:fill="D9D9D9"/>
          </w:tcPr>
          <w:p w14:paraId="080BC6FE" w14:textId="77777777" w:rsidR="00B56EAF" w:rsidRPr="0034388B" w:rsidRDefault="00B56EAF" w:rsidP="00C67567">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B56EAF" w:rsidRPr="00A0012D" w14:paraId="053E653E" w14:textId="77777777" w:rsidTr="00B56EAF">
        <w:trPr>
          <w:trHeight w:val="223"/>
          <w:tblCellSpacing w:w="0" w:type="dxa"/>
        </w:trPr>
        <w:tc>
          <w:tcPr>
            <w:tcW w:w="245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6A64A" w14:textId="77777777" w:rsidR="00B56EAF" w:rsidRPr="00A0012D" w:rsidRDefault="00B56EAF" w:rsidP="00C67567">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379" w:type="dxa"/>
            <w:tcBorders>
              <w:bottom w:val="single" w:sz="6" w:space="0" w:color="000000"/>
              <w:right w:val="single" w:sz="6" w:space="0" w:color="000000"/>
            </w:tcBorders>
            <w:tcMar>
              <w:top w:w="0" w:type="dxa"/>
              <w:left w:w="45" w:type="dxa"/>
              <w:bottom w:w="0" w:type="dxa"/>
              <w:right w:w="45" w:type="dxa"/>
            </w:tcMar>
            <w:vAlign w:val="bottom"/>
            <w:hideMark/>
          </w:tcPr>
          <w:p w14:paraId="62763D26" w14:textId="3E7A5EF2" w:rsidR="00B56EAF" w:rsidRPr="00A0012D" w:rsidRDefault="00B56EAF" w:rsidP="00C6756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25650</w:t>
            </w:r>
          </w:p>
        </w:tc>
        <w:tc>
          <w:tcPr>
            <w:tcW w:w="1379" w:type="dxa"/>
            <w:tcBorders>
              <w:bottom w:val="single" w:sz="6" w:space="0" w:color="000000"/>
              <w:right w:val="single" w:sz="6" w:space="0" w:color="000000"/>
            </w:tcBorders>
            <w:tcMar>
              <w:top w:w="0" w:type="dxa"/>
              <w:left w:w="45" w:type="dxa"/>
              <w:bottom w:w="0" w:type="dxa"/>
              <w:right w:w="45" w:type="dxa"/>
            </w:tcMar>
            <w:vAlign w:val="bottom"/>
            <w:hideMark/>
          </w:tcPr>
          <w:p w14:paraId="6D14B398" w14:textId="3A43C2B2" w:rsidR="00B56EAF" w:rsidRPr="00A0012D" w:rsidRDefault="00B56EAF" w:rsidP="00C6756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25199</w:t>
            </w:r>
          </w:p>
        </w:tc>
        <w:tc>
          <w:tcPr>
            <w:tcW w:w="1684" w:type="dxa"/>
            <w:tcBorders>
              <w:bottom w:val="single" w:sz="6" w:space="0" w:color="000000"/>
              <w:right w:val="single" w:sz="6" w:space="0" w:color="000000"/>
            </w:tcBorders>
            <w:tcMar>
              <w:top w:w="0" w:type="dxa"/>
              <w:left w:w="45" w:type="dxa"/>
              <w:bottom w:w="0" w:type="dxa"/>
              <w:right w:w="45" w:type="dxa"/>
            </w:tcMar>
            <w:vAlign w:val="bottom"/>
            <w:hideMark/>
          </w:tcPr>
          <w:p w14:paraId="4E3AB16C" w14:textId="313D0C29" w:rsidR="00B56EAF" w:rsidRPr="00A0012D" w:rsidRDefault="00B56EAF" w:rsidP="00C6756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23790</w:t>
            </w:r>
          </w:p>
        </w:tc>
        <w:tc>
          <w:tcPr>
            <w:tcW w:w="1215" w:type="dxa"/>
            <w:tcBorders>
              <w:bottom w:val="single" w:sz="6" w:space="0" w:color="000000"/>
              <w:right w:val="single" w:sz="6" w:space="0" w:color="000000"/>
            </w:tcBorders>
          </w:tcPr>
          <w:p w14:paraId="3CB568F5" w14:textId="188AF491" w:rsidR="00B56EAF" w:rsidRPr="00A0012D" w:rsidRDefault="00B56EAF" w:rsidP="00C6756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38390</w:t>
            </w:r>
          </w:p>
        </w:tc>
        <w:tc>
          <w:tcPr>
            <w:tcW w:w="1095" w:type="dxa"/>
            <w:tcBorders>
              <w:bottom w:val="single" w:sz="6" w:space="0" w:color="000000"/>
              <w:right w:val="single" w:sz="6" w:space="0" w:color="000000"/>
            </w:tcBorders>
          </w:tcPr>
          <w:p w14:paraId="168847FD" w14:textId="065ACB4F" w:rsidR="00B56EAF" w:rsidRPr="00A0012D" w:rsidRDefault="00B56EAF" w:rsidP="00C6756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16540</w:t>
            </w:r>
          </w:p>
        </w:tc>
      </w:tr>
      <w:tr w:rsidR="00B56EAF" w:rsidRPr="001760D9" w14:paraId="55067504" w14:textId="77777777" w:rsidTr="00B56EAF">
        <w:trPr>
          <w:trHeight w:val="482"/>
          <w:tblCellSpacing w:w="0" w:type="dxa"/>
        </w:trPr>
        <w:tc>
          <w:tcPr>
            <w:tcW w:w="9203"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5BEB511" w14:textId="77777777" w:rsidR="00B56EAF" w:rsidRPr="0034388B" w:rsidRDefault="00B56EAF" w:rsidP="00C67567">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40353A32" w14:textId="77777777" w:rsidR="00B56EAF" w:rsidRPr="001760D9" w:rsidRDefault="00B56EAF" w:rsidP="00C67567">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B56EAF" w:rsidRPr="00A0012D" w14:paraId="424E5296" w14:textId="77777777" w:rsidTr="00B56EAF">
        <w:trPr>
          <w:trHeight w:val="456"/>
          <w:tblCellSpacing w:w="0" w:type="dxa"/>
        </w:trPr>
        <w:tc>
          <w:tcPr>
            <w:tcW w:w="9203" w:type="dxa"/>
            <w:gridSpan w:val="6"/>
            <w:vMerge/>
            <w:tcBorders>
              <w:left w:val="single" w:sz="6" w:space="0" w:color="000000"/>
              <w:right w:val="single" w:sz="6" w:space="0" w:color="000000"/>
            </w:tcBorders>
            <w:vAlign w:val="center"/>
            <w:hideMark/>
          </w:tcPr>
          <w:p w14:paraId="73C40705" w14:textId="77777777" w:rsidR="00B56EAF" w:rsidRPr="00A0012D" w:rsidRDefault="00B56EAF" w:rsidP="00C67567">
            <w:pPr>
              <w:spacing w:after="0" w:line="240" w:lineRule="auto"/>
              <w:jc w:val="center"/>
              <w:rPr>
                <w:rFonts w:asciiTheme="minorHAnsi" w:hAnsiTheme="minorHAnsi" w:cstheme="minorHAnsi"/>
                <w:b/>
                <w:bCs/>
                <w:color w:val="002060"/>
                <w:sz w:val="20"/>
                <w:szCs w:val="20"/>
                <w:lang w:bidi="ar-SA"/>
              </w:rPr>
            </w:pPr>
          </w:p>
        </w:tc>
      </w:tr>
      <w:tr w:rsidR="00B56EAF" w:rsidRPr="00A0012D" w14:paraId="4632EBC2" w14:textId="77777777" w:rsidTr="00B56EAF">
        <w:trPr>
          <w:trHeight w:val="456"/>
          <w:tblCellSpacing w:w="0" w:type="dxa"/>
        </w:trPr>
        <w:tc>
          <w:tcPr>
            <w:tcW w:w="9203" w:type="dxa"/>
            <w:gridSpan w:val="6"/>
            <w:vMerge/>
            <w:tcBorders>
              <w:left w:val="single" w:sz="6" w:space="0" w:color="000000"/>
              <w:bottom w:val="single" w:sz="6" w:space="0" w:color="000000"/>
              <w:right w:val="single" w:sz="6" w:space="0" w:color="000000"/>
            </w:tcBorders>
            <w:vAlign w:val="center"/>
            <w:hideMark/>
          </w:tcPr>
          <w:p w14:paraId="51C3236D" w14:textId="77777777" w:rsidR="00B56EAF" w:rsidRPr="00A0012D" w:rsidRDefault="00B56EAF" w:rsidP="00C67567">
            <w:pPr>
              <w:spacing w:after="0" w:line="240" w:lineRule="auto"/>
              <w:rPr>
                <w:rFonts w:asciiTheme="minorHAnsi" w:hAnsiTheme="minorHAnsi" w:cstheme="minorHAnsi"/>
                <w:color w:val="002060"/>
                <w:sz w:val="20"/>
                <w:szCs w:val="20"/>
                <w:lang w:bidi="ar-SA"/>
              </w:rPr>
            </w:pPr>
          </w:p>
        </w:tc>
      </w:tr>
      <w:tr w:rsidR="00B56EAF" w:rsidRPr="0034388B" w14:paraId="3B03890D" w14:textId="77777777" w:rsidTr="00B56EAF">
        <w:trPr>
          <w:trHeight w:val="200"/>
          <w:tblCellSpacing w:w="0" w:type="dxa"/>
        </w:trPr>
        <w:tc>
          <w:tcPr>
            <w:tcW w:w="9203" w:type="dxa"/>
            <w:gridSpan w:val="6"/>
            <w:tcBorders>
              <w:left w:val="single" w:sz="6" w:space="0" w:color="000000"/>
              <w:bottom w:val="single" w:sz="6" w:space="0" w:color="000000"/>
            </w:tcBorders>
            <w:shd w:val="clear" w:color="auto" w:fill="D99594" w:themeFill="accent2" w:themeFillTint="99"/>
            <w:tcMar>
              <w:top w:w="0" w:type="dxa"/>
              <w:left w:w="45" w:type="dxa"/>
              <w:bottom w:w="0" w:type="dxa"/>
              <w:right w:w="45" w:type="dxa"/>
            </w:tcMar>
            <w:vAlign w:val="center"/>
            <w:hideMark/>
          </w:tcPr>
          <w:p w14:paraId="2A8B3F2E" w14:textId="77777777" w:rsidR="00B56EAF" w:rsidRPr="0034388B" w:rsidRDefault="00B56EAF" w:rsidP="00C67567">
            <w:pPr>
              <w:spacing w:after="0" w:line="240" w:lineRule="auto"/>
              <w:rPr>
                <w:rFonts w:asciiTheme="minorHAnsi" w:hAnsiTheme="minorHAnsi" w:cstheme="minorHAnsi"/>
                <w:b/>
                <w:bCs/>
                <w:color w:val="FFFFFF" w:themeColor="background1"/>
                <w:sz w:val="20"/>
                <w:szCs w:val="20"/>
                <w:lang w:bidi="ar-SA"/>
              </w:rPr>
            </w:pPr>
          </w:p>
        </w:tc>
      </w:tr>
    </w:tbl>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8080" w14:textId="77777777" w:rsidR="00271F12" w:rsidRDefault="00271F12">
      <w:pPr>
        <w:spacing w:after="0" w:line="240" w:lineRule="auto"/>
      </w:pPr>
      <w:r>
        <w:separator/>
      </w:r>
    </w:p>
  </w:endnote>
  <w:endnote w:type="continuationSeparator" w:id="0">
    <w:p w14:paraId="50729425" w14:textId="77777777" w:rsidR="00271F12" w:rsidRDefault="0027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5A21" w14:textId="77777777" w:rsidR="00271F12" w:rsidRDefault="00271F12">
      <w:pPr>
        <w:spacing w:after="0" w:line="240" w:lineRule="auto"/>
      </w:pPr>
      <w:bookmarkStart w:id="0" w:name="_Hlk199846639"/>
      <w:bookmarkEnd w:id="0"/>
      <w:r>
        <w:separator/>
      </w:r>
    </w:p>
  </w:footnote>
  <w:footnote w:type="continuationSeparator" w:id="0">
    <w:p w14:paraId="14E4F441" w14:textId="77777777" w:rsidR="00271F12" w:rsidRDefault="00271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36FCE00" w:rsidR="00A0012D" w:rsidRDefault="006B615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33EBA07" wp14:editId="434BA83C">
          <wp:simplePos x="0" y="0"/>
          <wp:positionH relativeFrom="column">
            <wp:posOffset>3807460</wp:posOffset>
          </wp:positionH>
          <wp:positionV relativeFrom="paragraph">
            <wp:posOffset>153670</wp:posOffset>
          </wp:positionV>
          <wp:extent cx="1232552" cy="822320"/>
          <wp:effectExtent l="0" t="0" r="0" b="0"/>
          <wp:wrapTight wrapText="bothSides">
            <wp:wrapPolygon edited="0">
              <wp:start x="9682" y="3005"/>
              <wp:lineTo x="8012" y="5008"/>
              <wp:lineTo x="668" y="11518"/>
              <wp:lineTo x="0" y="13521"/>
              <wp:lineTo x="334" y="16025"/>
              <wp:lineTo x="21032" y="16025"/>
              <wp:lineTo x="21032" y="12519"/>
              <wp:lineTo x="11685" y="3005"/>
              <wp:lineTo x="9682" y="3005"/>
            </wp:wrapPolygon>
          </wp:wrapTight>
          <wp:docPr id="9579954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5467" name="Imagen 957995467"/>
                  <pic:cNvPicPr/>
                </pic:nvPicPr>
                <pic:blipFill>
                  <a:blip r:embed="rId1">
                    <a:extLst>
                      <a:ext uri="{28A0092B-C50C-407E-A947-70E740481C1C}">
                        <a14:useLocalDpi xmlns:a14="http://schemas.microsoft.com/office/drawing/2010/main" val="0"/>
                      </a:ext>
                    </a:extLst>
                  </a:blip>
                  <a:stretch>
                    <a:fillRect/>
                  </a:stretch>
                </pic:blipFill>
                <pic:spPr>
                  <a:xfrm>
                    <a:off x="0" y="0"/>
                    <a:ext cx="1232552" cy="8223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4D5158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D70B523"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69606A">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CAMPECHE A TU ALCANCE</w:t>
                          </w:r>
                        </w:p>
                        <w:p w14:paraId="2EFB9CDF" w14:textId="0CEC7B8F" w:rsidR="00485B13" w:rsidRDefault="0069606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1964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D70B523"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69606A">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CAMPECHE A TU ALCANCE</w:t>
                    </w:r>
                  </w:p>
                  <w:p w14:paraId="2EFB9CDF" w14:textId="0CEC7B8F" w:rsidR="00485B13" w:rsidRDefault="0069606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1964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F568D9"/>
    <w:multiLevelType w:val="hybridMultilevel"/>
    <w:tmpl w:val="475A94F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8"/>
  </w:num>
  <w:num w:numId="4" w16cid:durableId="1033921887">
    <w:abstractNumId w:val="28"/>
  </w:num>
  <w:num w:numId="5" w16cid:durableId="353725778">
    <w:abstractNumId w:val="19"/>
  </w:num>
  <w:num w:numId="6" w16cid:durableId="1716585056">
    <w:abstractNumId w:val="34"/>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0"/>
  </w:num>
  <w:num w:numId="27" w16cid:durableId="1020744040">
    <w:abstractNumId w:val="16"/>
  </w:num>
  <w:num w:numId="28" w16cid:durableId="417677508">
    <w:abstractNumId w:val="33"/>
  </w:num>
  <w:num w:numId="29" w16cid:durableId="1737363427">
    <w:abstractNumId w:val="11"/>
  </w:num>
  <w:num w:numId="30" w16cid:durableId="1517574432">
    <w:abstractNumId w:val="31"/>
  </w:num>
  <w:num w:numId="31" w16cid:durableId="1189097810">
    <w:abstractNumId w:val="23"/>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5"/>
  </w:num>
  <w:num w:numId="37" w16cid:durableId="1691026288">
    <w:abstractNumId w:val="2"/>
  </w:num>
  <w:num w:numId="38" w16cid:durableId="4825533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63579"/>
    <w:rsid w:val="00271F12"/>
    <w:rsid w:val="00273EB7"/>
    <w:rsid w:val="002A3E36"/>
    <w:rsid w:val="002B20BB"/>
    <w:rsid w:val="002C73C6"/>
    <w:rsid w:val="002E2148"/>
    <w:rsid w:val="0031096F"/>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9606A"/>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56EAF"/>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1491</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2026-02-15T23:43:00Z</dcterms:created>
  <dcterms:modified xsi:type="dcterms:W3CDTF">2026-02-15T23:57:00Z</dcterms:modified>
</cp:coreProperties>
</file>