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47C3FC7C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TOKIO – HAKONE – NARA - KIOTO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1EB449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D6A22" w:rsidRPr="00DD6A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5A6CB70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viernes,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33F7BCC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Parque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lastRenderedPageBreak/>
        <w:t>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CCB2F6" w14:textId="4ECB02A1" w:rsidR="004475C9" w:rsidRDefault="007574A3" w:rsidP="0038799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7777777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633FFB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3FF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5978E044" w14:textId="0D407A21" w:rsidR="00387993" w:rsidRDefault="00387993" w:rsidP="00387993">
      <w:pPr>
        <w:rPr>
          <w:rFonts w:eastAsia="Arial"/>
        </w:rPr>
      </w:pPr>
    </w:p>
    <w:p w14:paraId="7D9A0D44" w14:textId="19FBDC45" w:rsidR="00387993" w:rsidRDefault="00387993" w:rsidP="00387993">
      <w:pPr>
        <w:rPr>
          <w:rFonts w:eastAsia="Arial"/>
        </w:rPr>
      </w:pPr>
    </w:p>
    <w:p w14:paraId="6E3E1290" w14:textId="5E5B13CC" w:rsidR="00387993" w:rsidRDefault="00387993" w:rsidP="00387993">
      <w:pPr>
        <w:rPr>
          <w:rFonts w:eastAsia="Arial"/>
        </w:rPr>
      </w:pP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AFB7300" w:rsidR="00664597" w:rsidRPr="00DC6188" w:rsidRDefault="00396D1F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6D86C06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27FCEC52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0B76F3EF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3F1F47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B4627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7CBE1E5F" w14:textId="77777777" w:rsidR="002675F0" w:rsidRPr="00454CC8" w:rsidRDefault="005D5E3C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3B191E50" w14:textId="018CD9D7" w:rsidR="002675F0" w:rsidRDefault="002675F0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tbl>
      <w:tblPr>
        <w:tblW w:w="71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164"/>
        <w:gridCol w:w="3722"/>
        <w:gridCol w:w="432"/>
      </w:tblGrid>
      <w:tr w:rsidR="00C26341" w:rsidRPr="00C26341" w14:paraId="1F4C480B" w14:textId="77777777" w:rsidTr="00C26341">
        <w:trPr>
          <w:trHeight w:val="26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0013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26341" w:rsidRPr="00C26341" w14:paraId="36D014AD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4A16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0598A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7BF4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2C15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26341" w:rsidRPr="00C26341" w14:paraId="7796A748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6042A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ABEDC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8E49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5AF6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26341" w:rsidRPr="00C26341" w14:paraId="6583DF74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C5D1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BC61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A796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KYOTO TOKYO HOTEL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04E9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26341" w:rsidRPr="00C26341" w14:paraId="67545E5C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54DD" w14:textId="77777777" w:rsidR="00C26341" w:rsidRPr="00C26341" w:rsidRDefault="00C26341" w:rsidP="00C2634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44F1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- </w:t>
            </w:r>
            <w:proofErr w:type="spellStart"/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B170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KYOTO TOKYU HOTEL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09B6" w14:textId="77777777" w:rsidR="00C26341" w:rsidRPr="00C26341" w:rsidRDefault="00C26341" w:rsidP="00C2634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38DCF1F" w14:textId="7F450EF7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10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904"/>
        <w:gridCol w:w="809"/>
        <w:gridCol w:w="809"/>
        <w:gridCol w:w="1953"/>
      </w:tblGrid>
      <w:tr w:rsidR="00C26341" w:rsidRPr="00C26341" w14:paraId="53FDCE70" w14:textId="77777777" w:rsidTr="00642161">
        <w:trPr>
          <w:trHeight w:val="27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B2A2" w14:textId="6D297D72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26341" w:rsidRPr="00C26341" w14:paraId="5F8D0D61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738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(OPERABLE DESDE 1 PAX) </w:t>
            </w:r>
          </w:p>
        </w:tc>
      </w:tr>
      <w:tr w:rsidR="00C26341" w:rsidRPr="00C26341" w14:paraId="0C5A77C9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7233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10A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A83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E2B4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E331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MENOR 4-11 AÑOS </w:t>
            </w:r>
          </w:p>
        </w:tc>
      </w:tr>
      <w:tr w:rsidR="00C26341" w:rsidRPr="00C26341" w14:paraId="2E608BB1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149E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A68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A343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7A5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F587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2195</w:t>
            </w:r>
          </w:p>
        </w:tc>
      </w:tr>
      <w:tr w:rsidR="00C26341" w:rsidRPr="00C26341" w14:paraId="5AE630D8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BD852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6A585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8B01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834D9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06883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2290</w:t>
            </w:r>
          </w:p>
        </w:tc>
      </w:tr>
      <w:tr w:rsidR="00C26341" w:rsidRPr="00C26341" w14:paraId="1724D7AF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CC4B5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1F5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6CA7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2435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F9FF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590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2480</w:t>
            </w:r>
          </w:p>
        </w:tc>
      </w:tr>
      <w:tr w:rsidR="00C26341" w:rsidRPr="00C26341" w14:paraId="3EE89E38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227F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F5EBF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7B9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B034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4230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7F7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2670</w:t>
            </w:r>
          </w:p>
        </w:tc>
      </w:tr>
      <w:tr w:rsidR="00C26341" w:rsidRPr="00C26341" w14:paraId="45CD1152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AA7B3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8AAC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99B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9C1E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4610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364E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2860</w:t>
            </w:r>
          </w:p>
        </w:tc>
      </w:tr>
      <w:tr w:rsidR="00C26341" w:rsidRPr="00C26341" w14:paraId="1341288F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E5F76" w14:textId="6C53A93A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6773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263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C2634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C26341" w:rsidRPr="00C26341" w14:paraId="167B9EE5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9EA3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26341" w:rsidRPr="00C26341" w14:paraId="45289588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7C34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26341" w:rsidRPr="00C26341" w14:paraId="51EE3863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568D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0D60D28" w14:textId="79B5F6A5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2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3101"/>
      </w:tblGrid>
      <w:tr w:rsidR="0057630D" w:rsidRPr="0057630D" w14:paraId="5A235C02" w14:textId="77777777" w:rsidTr="00642161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3662C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7630D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57630D" w:rsidRPr="0057630D" w14:paraId="6B26D1CC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D9125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5F8CE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 16, 23 y 30 </w:t>
            </w:r>
          </w:p>
        </w:tc>
      </w:tr>
      <w:tr w:rsidR="0057630D" w:rsidRPr="0057630D" w14:paraId="0D0909E5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6C94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15224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57630D" w:rsidRPr="0057630D" w14:paraId="2EE312D4" w14:textId="77777777" w:rsidTr="00642161">
        <w:trPr>
          <w:trHeight w:val="30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4F5D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A6CF8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08 y 15 </w:t>
            </w:r>
          </w:p>
        </w:tc>
      </w:tr>
      <w:tr w:rsidR="0057630D" w:rsidRPr="0057630D" w14:paraId="6F189933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1359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13058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57630D" w:rsidRPr="0057630D" w14:paraId="7CE54D40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35D6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1369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2027: 02 y 16 </w:t>
            </w:r>
          </w:p>
        </w:tc>
      </w:tr>
      <w:tr w:rsidR="0057630D" w:rsidRPr="0057630D" w14:paraId="2F20DB3B" w14:textId="77777777" w:rsidTr="00642161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1939A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83E75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19* y 26 </w:t>
            </w:r>
          </w:p>
        </w:tc>
      </w:tr>
      <w:tr w:rsidR="0057630D" w:rsidRPr="0057630D" w14:paraId="56B3B1D5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74046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98F1A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57630D" w:rsidRPr="0057630D" w14:paraId="3559DDCF" w14:textId="77777777" w:rsidTr="00642161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2CF8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BF1D8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57630D" w:rsidRPr="0057630D" w14:paraId="6A38143A" w14:textId="77777777" w:rsidTr="00642161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2F3B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3CCE4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</w:tbl>
    <w:p w14:paraId="6ED87B3F" w14:textId="77777777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699F4C8" w14:textId="77777777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2869"/>
      </w:tblGrid>
      <w:tr w:rsidR="0057630D" w:rsidRPr="0057630D" w14:paraId="074CF89A" w14:textId="77777777" w:rsidTr="0057630D">
        <w:trPr>
          <w:trHeight w:val="36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4603E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7630D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57630D" w:rsidRPr="0057630D" w14:paraId="7FF08AAE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4948B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36B84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</w:t>
            </w:r>
          </w:p>
        </w:tc>
      </w:tr>
      <w:tr w:rsidR="0057630D" w:rsidRPr="0057630D" w14:paraId="0771FC18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2C6C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604C6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57630D" w:rsidRPr="0057630D" w14:paraId="0625BABD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0E83B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9EC29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13*, 20 y 27 </w:t>
            </w:r>
          </w:p>
        </w:tc>
      </w:tr>
      <w:tr w:rsidR="0057630D" w:rsidRPr="0057630D" w14:paraId="27C0C159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8FF7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4F67D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57630D" w:rsidRPr="0057630D" w14:paraId="47A5CD1B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6460F" w14:textId="77777777" w:rsidR="0057630D" w:rsidRPr="0057630D" w:rsidRDefault="0057630D" w:rsidP="0057630D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65F2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  <w:tr w:rsidR="0057630D" w:rsidRPr="0057630D" w14:paraId="727528E8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A56A1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A45D1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57630D" w:rsidRPr="0057630D" w14:paraId="05806592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F3F26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659D0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57630D" w:rsidRPr="0057630D" w14:paraId="7A9F25D2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53FD2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E3475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10, 17 y 24 </w:t>
            </w:r>
          </w:p>
        </w:tc>
      </w:tr>
      <w:tr w:rsidR="0057630D" w:rsidRPr="0057630D" w14:paraId="2D666352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AE7C5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A3B6B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57630D" w:rsidRPr="0057630D" w14:paraId="6D9F7795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D068C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106D2" w14:textId="77777777" w:rsidR="0057630D" w:rsidRPr="0057630D" w:rsidRDefault="0057630D" w:rsidP="0057630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  <w:tr w:rsidR="0057630D" w:rsidRPr="0057630D" w14:paraId="4BEC5C3F" w14:textId="77777777" w:rsidTr="0057630D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B9268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*en estas fechas el hotel en Tokio será Grand </w:t>
            </w:r>
            <w:proofErr w:type="spellStart"/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</w:tr>
    </w:tbl>
    <w:p w14:paraId="76C52FFD" w14:textId="77777777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739"/>
      </w:tblGrid>
      <w:tr w:rsidR="0057630D" w:rsidRPr="0057630D" w14:paraId="26E4EB32" w14:textId="77777777" w:rsidTr="0057630D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4D390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7630D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5763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57630D" w:rsidRPr="0057630D" w14:paraId="1D62ABD1" w14:textId="77777777" w:rsidTr="0057630D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F9343" w14:textId="77777777" w:rsidR="0057630D" w:rsidRPr="0057630D" w:rsidRDefault="0057630D" w:rsidP="0057630D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150B9" w14:textId="77777777" w:rsidR="0057630D" w:rsidRPr="0057630D" w:rsidRDefault="0057630D" w:rsidP="0057630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7630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18 </w:t>
            </w:r>
          </w:p>
        </w:tc>
      </w:tr>
    </w:tbl>
    <w:p w14:paraId="71412E4F" w14:textId="77777777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137DE40" w14:textId="08762B96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5E3A5B" wp14:editId="0848FE99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2ED7" w14:textId="2420263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E9788FE" w14:textId="076508D7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1021"/>
      </w:tblGrid>
      <w:tr w:rsidR="006773EC" w:rsidRPr="006773EC" w14:paraId="7843FA89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6B2BF" w14:textId="570B72C5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6773EC" w:rsidRPr="006773EC" w14:paraId="14416CDC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F5FF7" w14:textId="72231A5B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6773EC" w:rsidRPr="006773EC" w14:paraId="5C1F8FB4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9FD81" w14:textId="2D9A8485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té en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día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EFF94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6773EC" w:rsidRPr="006773EC" w14:paraId="21D12FD6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DC69" w14:textId="2F2D48E5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día</w:t>
            </w: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C70D3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6773EC" w:rsidRPr="006773EC" w14:paraId="30E8E717" w14:textId="77777777" w:rsidTr="006773E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24EEC5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Nota: No se ofrecerá la actividad opcional en destino. Los pasajeros necesitarán reservarlos 3 semanas antes de viajar. Sujeto a disponibilidad</w:t>
            </w:r>
          </w:p>
        </w:tc>
      </w:tr>
      <w:tr w:rsidR="006773EC" w:rsidRPr="006773EC" w14:paraId="0BB6619A" w14:textId="77777777" w:rsidTr="006773E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2A01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7180A09" w14:textId="2045DCFA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544"/>
      </w:tblGrid>
      <w:tr w:rsidR="006773EC" w:rsidRPr="006773EC" w14:paraId="16886ADA" w14:textId="77777777" w:rsidTr="003B31F5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2BA0D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6773EC" w:rsidRPr="006773EC" w14:paraId="3745D1E0" w14:textId="77777777" w:rsidTr="003B31F5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7F6D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6773EC" w:rsidRPr="006773EC" w14:paraId="1D10F458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15F8F" w14:textId="3CF0E09B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hab.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(23.8 - 29 m2)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TWIN/TPL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BBAFB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115</w:t>
            </w:r>
          </w:p>
        </w:tc>
      </w:tr>
      <w:tr w:rsidR="006773EC" w:rsidRPr="006773EC" w14:paraId="603AA0C1" w14:textId="77777777" w:rsidTr="006773EC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AA08C" w14:textId="5CB28347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hab.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(23.8 - 29 m2)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H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ab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E6C3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175</w:t>
            </w:r>
          </w:p>
        </w:tc>
      </w:tr>
      <w:tr w:rsidR="006773EC" w:rsidRPr="006773EC" w14:paraId="62959561" w14:textId="77777777" w:rsidTr="006773E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E4C1" w14:textId="74C71BC8" w:rsidR="006773EC" w:rsidRPr="006773EC" w:rsidRDefault="003B31F5" w:rsidP="006773EC">
            <w:pPr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</w:pPr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Nota: </w:t>
            </w:r>
            <w:proofErr w:type="spell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en hab. Doble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, habitación premium </w:t>
            </w:r>
            <w:proofErr w:type="spell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23.8 - 29 m</w:t>
            </w:r>
            <w:proofErr w:type="gram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2 .</w:t>
            </w:r>
            <w:proofErr w:type="gram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</w:t>
            </w:r>
            <w:proofErr w:type="gram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Total</w:t>
            </w:r>
            <w:proofErr w:type="gram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para las 3 noches que incluye el tour</w:t>
            </w:r>
          </w:p>
        </w:tc>
      </w:tr>
    </w:tbl>
    <w:p w14:paraId="333B3744" w14:textId="01C3FA62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6692A70" w14:textId="1B8DE44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2"/>
        <w:gridCol w:w="687"/>
      </w:tblGrid>
      <w:tr w:rsidR="006773EC" w:rsidRPr="006773EC" w14:paraId="42CEBCAE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FD2F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SUPLEMENTO DE SALIDA DE KIOTO</w:t>
            </w:r>
          </w:p>
        </w:tc>
      </w:tr>
      <w:tr w:rsidR="006773EC" w:rsidRPr="006773EC" w14:paraId="188CD8C0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396E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6773EC" w:rsidRPr="006773EC" w14:paraId="6934523B" w14:textId="77777777" w:rsidTr="003B31F5">
        <w:trPr>
          <w:trHeight w:val="3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40288" w14:textId="298570FC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Vuelo de salida antes de la 8:00 am o a esa misma hora (TWIN/TPL)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211DF" w14:textId="7868AA19" w:rsidR="006773EC" w:rsidRPr="006773EC" w:rsidRDefault="003B31F5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6773EC" w:rsidRPr="006773EC" w14:paraId="7C078F4A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38072" w14:textId="25CCB8E9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Vuelo de salida antes de la 8:00 am o a esa misma hora (SGL)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3552E" w14:textId="342CE314" w:rsidR="006773EC" w:rsidRPr="006773EC" w:rsidRDefault="003B31F5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6773EC" w:rsidRPr="006773EC" w14:paraId="2A1F2962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0F1F5" w14:textId="771CB22E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kix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o 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itm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 tiene salida a las 8:00am o antes de esta hora, ya que se deberá reservar un taxi para el traslado</w:t>
            </w:r>
          </w:p>
        </w:tc>
      </w:tr>
      <w:tr w:rsidR="006773EC" w:rsidRPr="006773EC" w14:paraId="33CF26A1" w14:textId="77777777" w:rsidTr="003B31F5">
        <w:trPr>
          <w:trHeight w:val="35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653A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2D7C581B" w14:textId="20CD166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1014"/>
        <w:gridCol w:w="743"/>
      </w:tblGrid>
      <w:tr w:rsidR="003B31F5" w:rsidRPr="003B31F5" w14:paraId="2488061D" w14:textId="77777777" w:rsidTr="003B31F5">
        <w:trPr>
          <w:trHeight w:val="28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0DDC2" w14:textId="77777777" w:rsidR="003B31F5" w:rsidRPr="003B31F5" w:rsidRDefault="003B31F5" w:rsidP="003B31F5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B31F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6773EC" w:rsidRPr="006773EC" w14:paraId="63A46E29" w14:textId="77777777" w:rsidTr="003B31F5">
        <w:trPr>
          <w:trHeight w:val="28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66D1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6773EC" w:rsidRPr="006773EC" w14:paraId="2E1B690B" w14:textId="77777777" w:rsidTr="003B31F5">
        <w:trPr>
          <w:trHeight w:val="2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3146E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TOKIO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8B43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2783C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6773EC" w:rsidRPr="006773EC" w14:paraId="153DDF2D" w14:textId="77777777" w:rsidTr="003B31F5">
        <w:trPr>
          <w:trHeight w:val="27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9D44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32479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3004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089FD224" w14:textId="77777777" w:rsidTr="003B31F5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6D09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EA1C7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108EA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0F43F05C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51B1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6773EC" w:rsidRPr="006773EC" w14:paraId="17A97AA0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B30B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234FFCB9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067E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44525C4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FCBA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0C4095" w14:textId="68FAF36F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E59CC00" w14:textId="77777777" w:rsidR="003B31F5" w:rsidRDefault="003B31F5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1675"/>
        <w:gridCol w:w="1226"/>
      </w:tblGrid>
      <w:tr w:rsidR="006773EC" w:rsidRPr="006773EC" w14:paraId="6831E328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C48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6773EC" w:rsidRPr="006773EC" w14:paraId="424F0CF0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6DA4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6773EC" w:rsidRPr="006773EC" w14:paraId="59F6CA28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01D4A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KIOTO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Superior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09260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C3555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410</w:t>
            </w:r>
          </w:p>
        </w:tc>
      </w:tr>
      <w:tr w:rsidR="006773EC" w:rsidRPr="006773EC" w14:paraId="46ED2E21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BB636EC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5E622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7D7F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559535BC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0F7C49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FBD42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C646B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773EC" w:rsidRPr="006773EC" w14:paraId="73BE438F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B5778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en KIOTO</w:t>
            </w: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Hotel</w:t>
            </w: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77F31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6A86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460</w:t>
            </w:r>
          </w:p>
        </w:tc>
      </w:tr>
      <w:tr w:rsidR="006773EC" w:rsidRPr="006773EC" w14:paraId="5CC7BCAA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BD95" w14:textId="77777777" w:rsidR="006773EC" w:rsidRPr="006773EC" w:rsidRDefault="006773EC" w:rsidP="006773EC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FE80D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1C48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6773EC" w:rsidRPr="006773EC" w14:paraId="7D6E898C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9CAC" w14:textId="77777777" w:rsidR="006773EC" w:rsidRPr="006773EC" w:rsidRDefault="006773EC" w:rsidP="006773EC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674C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AF57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6773EC" w:rsidRPr="006773EC" w14:paraId="5033309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9FC41C" w14:textId="7845CED4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*Estas tarifas sólo se aplican a las noches adicionales inmediatamente después del circuito. 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*Máximo 2 noches adicionales 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*Tarifas sujetas a disponibilidad y cambios sin previo aviso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*No es posible reservar noches adicionales después del circuito en el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en la salida del 23 de diciembre 2025.</w:t>
            </w:r>
          </w:p>
        </w:tc>
      </w:tr>
      <w:tr w:rsidR="006773EC" w:rsidRPr="006773EC" w14:paraId="38E7D0C1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5F67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2D5F782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49E4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3FB318B9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950E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F729105" w14:textId="63B6E242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A12DCAF" w14:textId="40A91631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96"/>
        <w:gridCol w:w="111"/>
        <w:gridCol w:w="410"/>
      </w:tblGrid>
      <w:tr w:rsidR="00F0569A" w:rsidRPr="00F0569A" w14:paraId="519B9B50" w14:textId="77777777" w:rsidTr="00F0569A">
        <w:trPr>
          <w:trHeight w:val="34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5E7D4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F0569A" w:rsidRPr="00F0569A" w14:paraId="55E0041F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2A19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bookmarkStart w:id="1" w:name="_GoBack" w:colFirst="0" w:colLast="3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5D959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F0569A" w:rsidRPr="00F0569A" w14:paraId="2CAF529F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AFC78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44DF3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F0569A" w:rsidRPr="00F0569A" w14:paraId="17A0C762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17474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D660D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0569A" w:rsidRPr="00F0569A" w14:paraId="0F71CC82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DB918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293ED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F0569A" w:rsidRPr="00F0569A" w14:paraId="642D38C4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F4FCD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52445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F0569A" w:rsidRPr="00F0569A" w14:paraId="3DD21349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79EE8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7ECBF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F0569A" w:rsidRPr="00F0569A" w14:paraId="42856F15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3F3A9E54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8C8F1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1A9E2" w14:textId="77777777" w:rsidR="00F0569A" w:rsidRPr="00F0569A" w:rsidRDefault="00F0569A" w:rsidP="00F0569A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EFEE5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F0569A" w:rsidRPr="00F0569A" w14:paraId="72F4ADD7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40354F2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E72FF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8B7D" w14:textId="77777777" w:rsidR="00F0569A" w:rsidRPr="00F0569A" w:rsidRDefault="00F0569A" w:rsidP="00F0569A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9EEA2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F0569A" w:rsidRPr="00F0569A" w14:paraId="2C7E852A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2FBE0E03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C5B23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12396" w14:textId="77777777" w:rsidR="00F0569A" w:rsidRPr="00F0569A" w:rsidRDefault="00F0569A" w:rsidP="00F0569A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EEB1D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0569A" w:rsidRPr="00F0569A" w14:paraId="176E7122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CC756A1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2512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2016C" w14:textId="77777777" w:rsidR="00F0569A" w:rsidRPr="00F0569A" w:rsidRDefault="00F0569A" w:rsidP="00F0569A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7CEE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F0569A" w:rsidRPr="00F0569A" w14:paraId="3F4BD782" w14:textId="77777777" w:rsidTr="00F0569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2F6E173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F056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39FD0" w14:textId="77777777" w:rsidR="00F0569A" w:rsidRPr="00F0569A" w:rsidRDefault="00F0569A" w:rsidP="00F056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6E0C1" w14:textId="77777777" w:rsidR="00F0569A" w:rsidRPr="00F0569A" w:rsidRDefault="00F0569A" w:rsidP="00F0569A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360F" w14:textId="77777777" w:rsidR="00F0569A" w:rsidRPr="00F0569A" w:rsidRDefault="00F0569A" w:rsidP="00F0569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056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bookmarkEnd w:id="1"/>
    </w:tbl>
    <w:p w14:paraId="31C52FF1" w14:textId="74CCF7BB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648B033" w14:textId="77777777" w:rsidR="006773EC" w:rsidRPr="00454CC8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6773EC" w:rsidRPr="00454CC8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25DAC" w14:textId="77777777" w:rsidR="007C1680" w:rsidRDefault="007C1680" w:rsidP="000D4B74">
      <w:r>
        <w:separator/>
      </w:r>
    </w:p>
  </w:endnote>
  <w:endnote w:type="continuationSeparator" w:id="0">
    <w:p w14:paraId="1BEA532B" w14:textId="77777777" w:rsidR="007C1680" w:rsidRDefault="007C168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680A" w14:textId="77777777" w:rsidR="00A22098" w:rsidRDefault="00A220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C176" w14:textId="77777777" w:rsidR="00A22098" w:rsidRDefault="00A22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5599" w14:textId="77777777" w:rsidR="007C1680" w:rsidRDefault="007C1680" w:rsidP="000D4B74">
      <w:r>
        <w:separator/>
      </w:r>
    </w:p>
  </w:footnote>
  <w:footnote w:type="continuationSeparator" w:id="0">
    <w:p w14:paraId="4E0E6536" w14:textId="77777777" w:rsidR="007C1680" w:rsidRDefault="007C168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870D" w14:textId="77777777" w:rsidR="00A22098" w:rsidRDefault="00A220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69FD2A33" w:rsidR="0038774D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8217208" wp14:editId="09C97BCD">
          <wp:simplePos x="0" y="0"/>
          <wp:positionH relativeFrom="column">
            <wp:posOffset>3971925</wp:posOffset>
          </wp:positionH>
          <wp:positionV relativeFrom="paragraph">
            <wp:posOffset>293370</wp:posOffset>
          </wp:positionV>
          <wp:extent cx="933450" cy="622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588EF72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A TU ALCANCE</w:t>
                          </w:r>
                        </w:p>
                        <w:p w14:paraId="041A546C" w14:textId="53B2EEC5" w:rsidR="0038774D" w:rsidRPr="00983E4D" w:rsidRDefault="00B3232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2461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588EF72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A TU ALCANCE</w:t>
                    </w:r>
                  </w:p>
                  <w:p w14:paraId="041A546C" w14:textId="53B2EEC5" w:rsidR="0038774D" w:rsidRPr="00983E4D" w:rsidRDefault="00B3232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2461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bookmarkStart w:id="2" w:name="_GoBack"/>
                    <w:bookmarkEnd w:id="2"/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5441" w14:textId="77777777" w:rsidR="00A22098" w:rsidRDefault="00A22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8"/>
      </v:shape>
    </w:pict>
  </w:numPicBullet>
  <w:numPicBullet w:numPicBulletId="1">
    <w:pict>
      <v:shape id="_x0000_i105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2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5"/>
  </w:num>
  <w:num w:numId="13">
    <w:abstractNumId w:val="22"/>
  </w:num>
  <w:num w:numId="14">
    <w:abstractNumId w:val="22"/>
  </w:num>
  <w:num w:numId="15">
    <w:abstractNumId w:val="37"/>
  </w:num>
  <w:num w:numId="16">
    <w:abstractNumId w:val="16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5"/>
  </w:num>
  <w:num w:numId="22">
    <w:abstractNumId w:val="7"/>
  </w:num>
  <w:num w:numId="23">
    <w:abstractNumId w:val="38"/>
  </w:num>
  <w:num w:numId="24">
    <w:abstractNumId w:val="20"/>
  </w:num>
  <w:num w:numId="25">
    <w:abstractNumId w:val="27"/>
  </w:num>
  <w:num w:numId="26">
    <w:abstractNumId w:val="40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1"/>
  </w:num>
  <w:num w:numId="34">
    <w:abstractNumId w:val="39"/>
  </w:num>
  <w:num w:numId="35">
    <w:abstractNumId w:val="6"/>
  </w:num>
  <w:num w:numId="36">
    <w:abstractNumId w:val="13"/>
  </w:num>
  <w:num w:numId="37">
    <w:abstractNumId w:val="28"/>
  </w:num>
  <w:num w:numId="38">
    <w:abstractNumId w:val="34"/>
  </w:num>
  <w:num w:numId="39">
    <w:abstractNumId w:val="18"/>
  </w:num>
  <w:num w:numId="40">
    <w:abstractNumId w:val="1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F83"/>
    <w:rsid w:val="00163AB2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43515"/>
    <w:rsid w:val="002450D3"/>
    <w:rsid w:val="00251504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B1275"/>
    <w:rsid w:val="002C072F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407E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77B8"/>
    <w:rsid w:val="006B7E55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51B67"/>
    <w:rsid w:val="007574A3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62F4"/>
    <w:rsid w:val="007B4384"/>
    <w:rsid w:val="007C1680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73ACF"/>
    <w:rsid w:val="00880F79"/>
    <w:rsid w:val="00883ADC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0569A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4032-3577-4CA3-A379-AA4734A4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2331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85</cp:revision>
  <dcterms:created xsi:type="dcterms:W3CDTF">2025-09-10T19:29:00Z</dcterms:created>
  <dcterms:modified xsi:type="dcterms:W3CDTF">2026-03-24T17:59:00Z</dcterms:modified>
</cp:coreProperties>
</file>