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31E6D259" w:rsidR="00516726" w:rsidRPr="00516726" w:rsidRDefault="00F10FA7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Bangkok – Chiang Rai – Chiang Mai – Bangkok </w:t>
      </w:r>
    </w:p>
    <w:p w14:paraId="6A46FB12" w14:textId="1A23E90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22F35CF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martes, jueves y domingo de abril 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6868ACDA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910CAF4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68C4DC6C" w14:textId="74B67823" w:rsidR="00260689" w:rsidRPr="004C0C68" w:rsidRDefault="00260689" w:rsidP="00260689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de Bangkok, traslado al hotel y tarde libre para descansar o conocer por cuenta propia la ciudad. </w:t>
      </w:r>
      <w:r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76F1995" w14:textId="77777777" w:rsidR="00652D3A" w:rsidRDefault="00280E80" w:rsidP="00652D3A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El horario para registrar en el hotel es después </w:t>
      </w:r>
      <w:r w:rsidR="00260689">
        <w:rPr>
          <w:rFonts w:asciiTheme="minorHAnsi" w:hAnsiTheme="minorHAnsi" w:cstheme="minorHAnsi"/>
          <w:b/>
          <w:bCs/>
          <w:color w:val="002060"/>
          <w:sz w:val="20"/>
          <w:szCs w:val="20"/>
        </w:rPr>
        <w:t>3</w:t>
      </w: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>pm.</w:t>
      </w:r>
    </w:p>
    <w:p w14:paraId="05A9CF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1ABAC864" w14:textId="77777777" w:rsidR="00652D3A" w:rsidRDefault="00652D3A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Bangkok</w:t>
      </w:r>
    </w:p>
    <w:p w14:paraId="57ACD68D" w14:textId="4602AD90" w:rsidR="00652D3A" w:rsidRPr="004C0C68" w:rsidRDefault="00652D3A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</w:t>
      </w: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espués del desayuno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iniciará un recorrido por los templos más importantes de la ciudad. La primera visita será al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Chinatown, hogar del Buda de oro macizo más grande del mundo, una impresionante imagen de casi cinco metros de altura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Posteriormente, visita al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uno de los templos más grandes y antiguos de Bangkok, famoso por su Buda reclinado de 46 metros cubierto en oro y sus tradicionales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chedis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reales.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recorrido continúa hacia el Gran Palacio, antigua residencia de la familia real durante más de 150 años. Dentro del complejo se encuentra el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Phra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Kaew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el Templo del Buda Esmeralda, considerado el santuario budista más importante de Tailandia.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4C0C68"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AC1460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54EC8340" w14:textId="77777777" w:rsidR="00652D3A" w:rsidRDefault="00251504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</w:rPr>
        <w:t xml:space="preserve">Bangkok – Chiang Rai </w:t>
      </w:r>
      <w:r w:rsidR="00260689" w:rsidRPr="00260689">
        <w:rPr>
          <w:rFonts w:asciiTheme="minorHAnsi" w:eastAsia="Arial" w:hAnsiTheme="minorHAnsi" w:cstheme="minorHAnsi"/>
          <w:color w:val="002060"/>
        </w:rPr>
        <w:t xml:space="preserve">(vuelo interno) </w:t>
      </w:r>
    </w:p>
    <w:p w14:paraId="23BA1769" w14:textId="77777777" w:rsidR="00652D3A" w:rsidRDefault="00260689" w:rsidP="00652D3A">
      <w:pPr>
        <w:tabs>
          <w:tab w:val="left" w:pos="1418"/>
        </w:tabs>
        <w:ind w:right="-142"/>
        <w:jc w:val="both"/>
        <w:rPr>
          <w:lang w:val="es-MX" w:eastAsia="es-MX"/>
        </w:rPr>
      </w:pPr>
      <w:r w:rsidRPr="002606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traslado al aeropuerto para tomar el vuelo hacia Chiang Rai 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(vuelo incluido)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la llegada, visita a la plantación de té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Chui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Fong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ubicada entre colinas, donde se puede disfrutar de bebidas y productos derivados del té (consumo por cuenta propia), además de almuerzo en restaurante local cercano.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Seguiremos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museo del opio y posteriormente hacia el área de Mae Chan, donde se realizará una caminata para visitar aldeas de las tribus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Akha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Yao.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recorrido finaliza en una aldea Karen, donde se conocerá a esta comunidad montañera, incluyendo el subgrupo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Kayan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conocido por la tradición cultural de las “mujeres de cuello largo”.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 finalizar, regreso al hotel.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Pr="00260689">
        <w:rPr>
          <w:lang w:val="es-MX" w:eastAsia="es-MX"/>
        </w:rPr>
        <w:t>.</w:t>
      </w:r>
    </w:p>
    <w:p w14:paraId="4A1D78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23111674" w14:textId="77777777" w:rsidR="00652D3A" w:rsidRDefault="00251504" w:rsidP="00652D3A">
      <w:pPr>
        <w:tabs>
          <w:tab w:val="left" w:pos="1418"/>
        </w:tabs>
        <w:ind w:right="-142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>Chiang Rai – Chiang Mai</w:t>
      </w:r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09E2108A" w14:textId="42E8F22C" w:rsidR="00652D3A" w:rsidRPr="004C0C68" w:rsidRDefault="00A40AE6" w:rsidP="00652D3A">
      <w:pPr>
        <w:tabs>
          <w:tab w:val="left" w:pos="1418"/>
        </w:tabs>
        <w:ind w:right="-142"/>
        <w:jc w:val="both"/>
        <w:rPr>
          <w:b/>
          <w:lang w:val="es-MX" w:eastAsia="es-MX"/>
        </w:rPr>
      </w:pPr>
      <w:r w:rsidRPr="00A40AE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Desayuno en el hotel.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mañana, paseo en bote tradicional por el río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Kok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visitando comunidades Karen que viven en casas de bambú en la selva.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Continuaremos hacia e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 Templo Azul (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Suea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Tean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), famoso por su intenso color azul y diseño moderno, y posteriormente al icónico Templo Blanco (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Khun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), una de las obras más emblemáticas de Tailandia.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Después de las visitas, traslado por carretera hacia Chiang Mai (aprox. 3 horas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camino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). Llegada y almuerzo en restaurante local.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tarde, visita al templo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Doi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Suthep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la cima de una colina con vistas panorámicas de la ciudad, uno de los templos más importantes del norte de Tailandia.</w:t>
      </w:r>
      <w:r w:rsidR="00652D3A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Pr="00A40AE6">
        <w:rPr>
          <w:b/>
          <w:lang w:val="es-MX" w:eastAsia="es-MX"/>
        </w:rPr>
        <w:t>.</w:t>
      </w:r>
    </w:p>
    <w:p w14:paraId="03327CC3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7B291212" w14:textId="77777777" w:rsidR="00652D3A" w:rsidRDefault="00C416FF" w:rsidP="00652D3A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 xml:space="preserve">ÍA </w:t>
      </w:r>
      <w:r w:rsidR="00652D3A">
        <w:rPr>
          <w:rStyle w:val="DanmeroCar"/>
          <w:bCs/>
          <w:sz w:val="24"/>
          <w:szCs w:val="24"/>
        </w:rPr>
        <w:t>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>Chiang Mai</w:t>
      </w:r>
    </w:p>
    <w:p w14:paraId="7E9FB940" w14:textId="77777777" w:rsidR="00494557" w:rsidRDefault="00652D3A" w:rsidP="0077546E">
      <w:pPr>
        <w:tabs>
          <w:tab w:val="left" w:pos="1418"/>
        </w:tabs>
        <w:ind w:right="-142"/>
        <w:jc w:val="both"/>
        <w:rPr>
          <w:lang w:val="es-MX" w:eastAsia="es-MX"/>
        </w:rPr>
      </w:pP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Inicio del día con visita a talleres artesanales locales, incluyendo una fábrica de tallado en madera con posibilidad de adquirir piezas y antigüedades birmanas.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Después iremos h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acia el valle de Mae Sa para visitar una granja de orquídeas, rodeada de naturaleza.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Almuerzo en restaurante local. Por la tarde, visita al santuario de elefantes, donde se aprenderá sobre su cuidado y bienestar, además de participar en actividades como alimentarlos y bañarlos.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Por la noche, cena tradicional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incluida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Regreso al hotel y </w:t>
      </w: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652D3A">
        <w:rPr>
          <w:lang w:val="es-MX" w:eastAsia="es-MX"/>
        </w:rPr>
        <w:t>.</w:t>
      </w:r>
    </w:p>
    <w:p w14:paraId="2C6C5C70" w14:textId="77777777" w:rsidR="00494557" w:rsidRDefault="00494557" w:rsidP="0077546E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10678E87" w14:textId="77777777" w:rsidR="00494557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>
        <w:rPr>
          <w:rFonts w:asciiTheme="minorHAnsi" w:eastAsia="Arial" w:hAnsiTheme="minorHAnsi" w:cstheme="minorHAnsi"/>
          <w:b/>
          <w:color w:val="FF0000"/>
        </w:rPr>
        <w:t>Chiang Mai – Bangkok</w:t>
      </w:r>
      <w:r w:rsidR="00494557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494557" w:rsidRPr="00494557">
        <w:rPr>
          <w:rFonts w:asciiTheme="minorHAnsi" w:eastAsia="Arial" w:hAnsiTheme="minorHAnsi" w:cstheme="minorHAnsi"/>
          <w:color w:val="002060"/>
        </w:rPr>
        <w:t>(vuelo interno)</w:t>
      </w:r>
    </w:p>
    <w:p w14:paraId="2A83D8FF" w14:textId="5AF1FC43" w:rsidR="0077546E" w:rsidRPr="00494557" w:rsidRDefault="0077546E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49455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Para después trasladarnos al aeropuerto de Chiang Mai y tomar el vuelo hacia Bangkok (vuelo incluido). Traslado de llegada al hotel. Tarde libre. </w:t>
      </w:r>
      <w:r w:rsidRPr="00F4148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9455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25306E2" w14:textId="77777777" w:rsidR="0077546E" w:rsidRDefault="0077546E" w:rsidP="0077546E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</w:p>
    <w:p w14:paraId="20FF6AEC" w14:textId="77777777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7|</w:t>
      </w:r>
      <w:r>
        <w:rPr>
          <w:rFonts w:asciiTheme="minorHAnsi" w:eastAsia="Arial" w:hAnsiTheme="minorHAnsi" w:cstheme="minorHAnsi"/>
          <w:b/>
          <w:color w:val="FF0000"/>
        </w:rPr>
        <w:t xml:space="preserve"> Bangkok</w:t>
      </w:r>
    </w:p>
    <w:p w14:paraId="34C16989" w14:textId="0F2DCC34" w:rsidR="0077546E" w:rsidRPr="00F41483" w:rsidRDefault="00F41483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="0077546E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A la hora acordada se realizará el traslado al aeropuerto</w:t>
      </w:r>
      <w:r w:rsidR="0077546E" w:rsidRPr="00F4148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 Fin de los servicios.</w:t>
      </w:r>
    </w:p>
    <w:p w14:paraId="3CEE3BE4" w14:textId="77777777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58F598F" w14:textId="3B48F389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Alojamiento en hoteles según categoría seleccionada en el programa </w:t>
      </w:r>
    </w:p>
    <w:p w14:paraId="6AE4E195" w14:textId="7C3A5204" w:rsidR="00EB22E8" w:rsidRPr="00F41483" w:rsidRDefault="00EB22E8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6 desayunos, 3 almuerzos y 3 cenas (sin bebidas) </w:t>
      </w:r>
    </w:p>
    <w:p w14:paraId="06F273F8" w14:textId="4214E67D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Traslados, visitas y excursiones en servicio compartido con guía de habla hispana  </w:t>
      </w:r>
    </w:p>
    <w:p w14:paraId="1E57A5B2" w14:textId="3D3A4E6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a los sitios turísticos mencionados en el itinerario </w:t>
      </w:r>
    </w:p>
    <w:p w14:paraId="237C64C6" w14:textId="6EB57F3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Transporte durante todo el recorrido en vehículo con aire acondicionado </w:t>
      </w:r>
    </w:p>
    <w:p w14:paraId="7632C1DD" w14:textId="6688A5B4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Guía de habla hispana durante las excursiones </w:t>
      </w:r>
    </w:p>
    <w:p w14:paraId="1444357F" w14:textId="5D0241EC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Impuestos hoteleros, IVA y manejo de equipaje durante el circuito </w:t>
      </w:r>
    </w:p>
    <w:p w14:paraId="6682BEB7" w14:textId="07544843" w:rsidR="002224D8" w:rsidRPr="0077546E" w:rsidRDefault="0077546E" w:rsidP="0077546E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 y visitas descritas en el programa</w:t>
      </w:r>
    </w:p>
    <w:p w14:paraId="4764D807" w14:textId="77777777" w:rsidR="0077546E" w:rsidRPr="0077546E" w:rsidRDefault="0077546E" w:rsidP="0077546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456024C5" w:rsidR="00152D96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21F53237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1BDF20E3" w14:textId="0A18C957" w:rsidR="00D607A6" w:rsidRPr="00D607A6" w:rsidRDefault="00D607A6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BLACKOUT: No se permite hacer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check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out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del 29 de diciembre 2026 al 03 de enero 2027.</w:t>
      </w:r>
    </w:p>
    <w:p w14:paraId="794DB0A8" w14:textId="00857B7D" w:rsidR="007D254B" w:rsidRP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temporada alta</w:t>
      </w:r>
      <w:r w:rsidR="00D607A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, principalmente suplementos en hoteles y cenas obligatorias (consultar tarifas) </w:t>
      </w:r>
    </w:p>
    <w:p w14:paraId="25E2A7DD" w14:textId="1DC5F54C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0"/>
    <w:p w14:paraId="79FF0D9D" w14:textId="40A34C10" w:rsidR="003D132A" w:rsidRPr="00B555E3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2F45B7A3" w14:textId="3CB7CCE1" w:rsidR="00B555E3" w:rsidRPr="00B555E3" w:rsidRDefault="00B555E3" w:rsidP="00B555E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Para viajeros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con nacionalidad 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mexican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es importante tramitar con anticipación el TDAC (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Thailand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Digital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Arrival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Card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 para el ingreso a Tailandia.</w:t>
      </w:r>
    </w:p>
    <w:tbl>
      <w:tblPr>
        <w:tblW w:w="67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1063"/>
        <w:gridCol w:w="4534"/>
        <w:gridCol w:w="417"/>
      </w:tblGrid>
      <w:tr w:rsidR="00CD4EBF" w:rsidRPr="00CD4EBF" w14:paraId="43E9351B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13774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bookmarkStart w:id="1" w:name="_GoBack"/>
            <w:bookmarkEnd w:id="1"/>
            <w:r w:rsidRPr="00CD4EB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CD4EBF" w:rsidRPr="00CD4EBF" w14:paraId="08448697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73016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CAFAE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C9170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42678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D4EBF" w:rsidRPr="00CD4EBF" w14:paraId="4F9427C9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BFCC9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D921F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B86B5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HILTON GARDEN INN BANGKOK SILOM / MANDARIN BANGKOK BY CENTRE POINT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B8042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CD4EBF" w:rsidRPr="00CD4EBF" w14:paraId="5A0E4D4C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32A0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DC71E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C9D13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MONTIEN SURAWONG / PULLMAN 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29DD8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D4EBF" w:rsidRPr="00CD4EBF" w14:paraId="5566AA10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830AD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05568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95AA9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 BANGKOK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7E41B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D4EBF" w:rsidRPr="00CD4EBF" w14:paraId="5F895F25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701E0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FD4F3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RAI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961AA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HERITAGE / LEGEND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4AC78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CD4EBF" w:rsidRPr="00CD4EBF" w14:paraId="70D89083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3E955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2204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4DFE0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RIVERIE BY KATATHANI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D67EB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D4EBF" w:rsidRPr="00CD4EBF" w14:paraId="1B3FBED9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CF23E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09B8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F9F7A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LE MERIDIEN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5D7AB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D4EBF" w:rsidRPr="00CD4EBF" w14:paraId="7EEC1FF7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94AE5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B18A4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D49AE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NOVOTEL NIMMAN / TRAVELODGE NIMMAN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08CF4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CD4EBF" w:rsidRPr="00CD4EBF" w14:paraId="27233E78" w14:textId="77777777" w:rsidTr="00CD4EBF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30D4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16A7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2ABC8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MELIA / BELLA NARA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4EA75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D4EBF" w:rsidRPr="00CD4EBF" w14:paraId="2CB35D3B" w14:textId="77777777" w:rsidTr="00CD4EBF">
        <w:trPr>
          <w:trHeight w:val="19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04705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1363E" w14:textId="77777777" w:rsidR="00CD4EBF" w:rsidRPr="00CD4EBF" w:rsidRDefault="00CD4EBF" w:rsidP="00CD4EB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A92D2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SHANGRI-LA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F5D84" w14:textId="77777777" w:rsidR="00CD4EBF" w:rsidRPr="00CD4EBF" w:rsidRDefault="00CD4EBF" w:rsidP="00CD4E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D4EB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77F138C3" w14:textId="0ED22F1A" w:rsidR="00CD4EBF" w:rsidRDefault="00CD4EBF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p w14:paraId="3065C134" w14:textId="4AB1A9AD" w:rsidR="00CD4EBF" w:rsidRDefault="00CD4EBF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p w14:paraId="1CC73E1F" w14:textId="22A6F0CC" w:rsidR="00CD4EBF" w:rsidRDefault="00CD4EBF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p w14:paraId="79708B29" w14:textId="6D97A7EA" w:rsidR="00CD4EBF" w:rsidRDefault="00CD4EBF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p w14:paraId="6E11BE4E" w14:textId="39BEB1BE" w:rsidR="00CD4EBF" w:rsidRDefault="00CD4EBF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p w14:paraId="63B5A628" w14:textId="4AB42818" w:rsidR="00CD4EBF" w:rsidRDefault="00CD4EBF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p w14:paraId="7C72F935" w14:textId="77777777" w:rsidR="00CD4EBF" w:rsidRPr="00CD4EBF" w:rsidRDefault="00CD4EBF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tbl>
      <w:tblPr>
        <w:tblW w:w="66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837"/>
        <w:gridCol w:w="837"/>
      </w:tblGrid>
      <w:tr w:rsidR="00F41483" w:rsidRPr="00F41483" w14:paraId="4FCC8E5F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FC16F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F41483" w:rsidRPr="00F41483" w14:paraId="1B474099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EC48D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1C021B" w:rsidRPr="00F41483" w14:paraId="05B25750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5EC4D" w14:textId="77777777" w:rsidR="00F41483" w:rsidRPr="00F41483" w:rsidRDefault="00F41483" w:rsidP="00F414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ABR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6FAB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D603F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F41483" w:rsidRPr="00F41483" w14:paraId="08A73783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C4672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7479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29DA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2280</w:t>
            </w:r>
          </w:p>
        </w:tc>
      </w:tr>
      <w:tr w:rsidR="00F41483" w:rsidRPr="00F41483" w14:paraId="6DD806F4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94B46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97621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57E38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2910</w:t>
            </w:r>
          </w:p>
        </w:tc>
      </w:tr>
      <w:tr w:rsidR="00F41483" w:rsidRPr="00F41483" w14:paraId="20442C9D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FABF7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4D6CF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17FE4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2235</w:t>
            </w:r>
          </w:p>
        </w:tc>
      </w:tr>
      <w:tr w:rsidR="001C021B" w:rsidRPr="00F41483" w14:paraId="6C48E486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05441" w14:textId="603F872A" w:rsidR="00F41483" w:rsidRPr="00F41483" w:rsidRDefault="00F41483" w:rsidP="00F414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01 NOV </w:t>
            </w:r>
            <w:r w:rsidR="001C02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2026 </w:t>
            </w: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D3DEB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D4766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F41483" w:rsidRPr="00F41483" w14:paraId="3872EA6C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3EC07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2B26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37F9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2345</w:t>
            </w:r>
          </w:p>
        </w:tc>
      </w:tr>
      <w:tr w:rsidR="00F41483" w:rsidRPr="00F41483" w14:paraId="15F724E0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802E8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457AD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42FB5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3135</w:t>
            </w:r>
          </w:p>
        </w:tc>
      </w:tr>
      <w:tr w:rsidR="00F41483" w:rsidRPr="00F41483" w14:paraId="6C2B80AB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E61FE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22516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5B8B3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3780</w:t>
            </w:r>
          </w:p>
        </w:tc>
      </w:tr>
      <w:tr w:rsidR="001C021B" w:rsidRPr="00F41483" w14:paraId="366ED10F" w14:textId="77777777" w:rsidTr="00F41483">
        <w:trPr>
          <w:trHeight w:val="2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41190" w14:textId="4E6E4059" w:rsidR="00F41483" w:rsidRPr="00F41483" w:rsidRDefault="00F41483" w:rsidP="00F414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20 DIC AL 31 DIC 2026 / DEL 03 </w:t>
            </w:r>
            <w:r w:rsidR="001C02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ENE </w:t>
            </w: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AL 07 ENE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29B74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27853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F41483" w:rsidRPr="00F41483" w14:paraId="6289DFAC" w14:textId="77777777" w:rsidTr="00F41483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6FC2C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50804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147BC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2765</w:t>
            </w:r>
          </w:p>
        </w:tc>
      </w:tr>
      <w:tr w:rsidR="00F41483" w:rsidRPr="00F41483" w14:paraId="09C056DC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6A44C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9D725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F709E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3565</w:t>
            </w:r>
          </w:p>
        </w:tc>
      </w:tr>
      <w:tr w:rsidR="00F41483" w:rsidRPr="00F41483" w14:paraId="1B0A486C" w14:textId="77777777" w:rsidTr="00F414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0FA55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06280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F973F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4610</w:t>
            </w:r>
          </w:p>
        </w:tc>
      </w:tr>
      <w:tr w:rsidR="00F41483" w:rsidRPr="00F41483" w14:paraId="47CBC108" w14:textId="77777777" w:rsidTr="00F4148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90683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</w:t>
            </w:r>
            <w:proofErr w:type="gramStart"/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NAVIDAD,FIN</w:t>
            </w:r>
            <w:proofErr w:type="gramEnd"/>
            <w:r w:rsidRPr="00F414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 AÑO, SEMANA SANTA, CONGRESOS O EVENTOS ESPECIALES. CONSULTAR SUPLEMENTO</w:t>
            </w:r>
            <w:r w:rsidRPr="00F414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F4148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F41483" w:rsidRPr="00F41483" w14:paraId="508ED58A" w14:textId="77777777" w:rsidTr="00F4148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92A0B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41483" w:rsidRPr="00F41483" w14:paraId="120C44E3" w14:textId="77777777" w:rsidTr="00F4148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2FE8E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41483" w:rsidRPr="00F41483" w14:paraId="60738ADC" w14:textId="77777777" w:rsidTr="00F4148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6DE3" w14:textId="77777777" w:rsidR="00F41483" w:rsidRPr="00F41483" w:rsidRDefault="00F41483" w:rsidP="00F414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8EBECAC" w14:textId="5DE33895" w:rsidR="00D607A6" w:rsidRDefault="00D607A6" w:rsidP="003D132A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0FE8B83" w14:textId="703B0331" w:rsidR="00D607A6" w:rsidRDefault="00D607A6" w:rsidP="003D132A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2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7"/>
        <w:gridCol w:w="867"/>
      </w:tblGrid>
      <w:tr w:rsidR="00F41483" w:rsidRPr="00F41483" w14:paraId="79765391" w14:textId="77777777" w:rsidTr="005D2621">
        <w:trPr>
          <w:trHeight w:val="12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1855E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SUPLEMENTOS</w:t>
            </w:r>
          </w:p>
        </w:tc>
      </w:tr>
      <w:tr w:rsidR="00F41483" w:rsidRPr="00F41483" w14:paraId="43A1F18E" w14:textId="77777777" w:rsidTr="005D2621">
        <w:trPr>
          <w:trHeight w:val="146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0DB82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F41483" w:rsidRPr="00F41483" w14:paraId="3A2F5C6E" w14:textId="77777777" w:rsidTr="005D2621">
        <w:trPr>
          <w:trHeight w:val="139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C9A92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hotel cat. Primera Superior en Bangkok, del 20 dic 2026 al 10 enero y del 30 enero 2027 al 10 feb 2027,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29F8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215</w:t>
            </w:r>
          </w:p>
        </w:tc>
      </w:tr>
      <w:tr w:rsidR="00F41483" w:rsidRPr="00F41483" w14:paraId="635C39B5" w14:textId="77777777" w:rsidTr="005D2621">
        <w:trPr>
          <w:trHeight w:val="132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9C5FF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hotel cat. Turista con Primera y Primera en Chiang Rai del 20 dic 2026 al 10 enero y del 30 enero 2027 al 10 feb 2027,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D9FE8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</w:t>
            </w:r>
          </w:p>
        </w:tc>
      </w:tr>
      <w:tr w:rsidR="00F41483" w:rsidRPr="00F41483" w14:paraId="2C9B8E8D" w14:textId="77777777" w:rsidTr="005D2621">
        <w:trPr>
          <w:trHeight w:val="125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EB7F5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Cena de gala 24 y 30 dic 2026 en cat. Turista con Primera y Primera en Chiang Rai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41EB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215</w:t>
            </w:r>
          </w:p>
        </w:tc>
      </w:tr>
      <w:tr w:rsidR="00F41483" w:rsidRPr="00F41483" w14:paraId="3339E308" w14:textId="77777777" w:rsidTr="005D2621">
        <w:trPr>
          <w:trHeight w:val="132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88DEA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hotel cat. Primera Superior en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Chinag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Rai, del 20 dic 2026 al 28 febrero,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929E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</w:t>
            </w:r>
          </w:p>
        </w:tc>
      </w:tr>
      <w:tr w:rsidR="00F41483" w:rsidRPr="00F41483" w14:paraId="48DB06BF" w14:textId="77777777" w:rsidTr="005D2621">
        <w:trPr>
          <w:trHeight w:val="139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76865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Cena de gala 24 y 30 dic 2026 en cat. Primera Superior en Chiang Rai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CD743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F41483" w:rsidRPr="00F41483" w14:paraId="21D5CBFB" w14:textId="77777777" w:rsidTr="005D2621">
        <w:trPr>
          <w:trHeight w:val="139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EAC53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Cena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Loy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Kratong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24 nov 2026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5A4F4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135</w:t>
            </w:r>
          </w:p>
        </w:tc>
      </w:tr>
      <w:tr w:rsidR="00F41483" w:rsidRPr="00F41483" w14:paraId="06139BA4" w14:textId="77777777" w:rsidTr="005D2621">
        <w:trPr>
          <w:trHeight w:val="139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F1D87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en hotel cat. Turista con Primera en Chiang Mai, del 20 dic 2026 al 10 enero y del 30 enero 2027 al 10 feb 2027 (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blackout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20 al 27 nov 2026),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C7725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45</w:t>
            </w:r>
          </w:p>
        </w:tc>
      </w:tr>
      <w:tr w:rsidR="00F41483" w:rsidRPr="00F41483" w14:paraId="78A4306F" w14:textId="77777777" w:rsidTr="005D2621">
        <w:trPr>
          <w:trHeight w:val="125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683D9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hotel cat. Primera en Chiang Mai, del 20 nov al 27 nov 2026 y del 20 dic 2026 al 10 enero,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CE82F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F41483" w:rsidRPr="00F41483" w14:paraId="0C5C8593" w14:textId="77777777" w:rsidTr="005D2621">
        <w:trPr>
          <w:trHeight w:val="132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2F89A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Cena de gala 24 y 30 dic 2026 en cat. Primera en Chiang Mai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8038A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F41483" w:rsidRPr="00F41483" w14:paraId="455BA9BA" w14:textId="77777777" w:rsidTr="005D2621">
        <w:trPr>
          <w:trHeight w:val="139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D13F8" w14:textId="77777777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hotel cat. Primera Superior en Chiang Mai, del 20 nov al 27 nov 2026 y del 20 dic 2026 al 10 enero, precio por </w:t>
            </w: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3FA71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F41483" w:rsidRPr="00F41483" w14:paraId="28EB6A34" w14:textId="77777777" w:rsidTr="005D2621">
        <w:trPr>
          <w:trHeight w:val="146"/>
          <w:tblCellSpacing w:w="0" w:type="dxa"/>
          <w:jc w:val="center"/>
        </w:trPr>
        <w:tc>
          <w:tcPr>
            <w:tcW w:w="7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B14E4" w14:textId="3F6CFD16" w:rsidR="00F41483" w:rsidRPr="00F41483" w:rsidRDefault="00F41483" w:rsidP="00F414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Cena de gala 24 y 30 dic 2026 en cat. Primera</w:t>
            </w:r>
            <w:r w:rsidR="005D262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F414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Superior en Chiang Mai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D643E" w14:textId="77777777" w:rsidR="00F41483" w:rsidRPr="00F41483" w:rsidRDefault="00F41483" w:rsidP="00F414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414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495</w:t>
            </w:r>
          </w:p>
        </w:tc>
      </w:tr>
    </w:tbl>
    <w:p w14:paraId="728B85D8" w14:textId="6D9A94D8" w:rsidR="00D607A6" w:rsidRPr="00F41483" w:rsidRDefault="00D607A6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BB30A62" w14:textId="28ED53E6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2CC298D8">
            <wp:simplePos x="0" y="0"/>
            <wp:positionH relativeFrom="column">
              <wp:posOffset>2543175</wp:posOffset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F29E9" w14:textId="77777777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8485C82" w14:textId="33B86C7B" w:rsidR="0040099E" w:rsidRDefault="0040099E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2680ED" w14:textId="77777777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617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9"/>
        <w:gridCol w:w="514"/>
      </w:tblGrid>
      <w:tr w:rsidR="005D2621" w:rsidRPr="005D2621" w14:paraId="5966DF05" w14:textId="77777777" w:rsidTr="005D2621">
        <w:trPr>
          <w:trHeight w:val="26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EE729" w14:textId="77777777" w:rsidR="005D2621" w:rsidRPr="005D2621" w:rsidRDefault="005D2621" w:rsidP="005D262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5D2621" w:rsidRPr="005D2621" w14:paraId="1A1DDF47" w14:textId="77777777" w:rsidTr="005D2621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69576" w14:textId="77777777" w:rsidR="005D2621" w:rsidRPr="005D2621" w:rsidRDefault="005D2621" w:rsidP="005D262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interno en clase turista Bangkok - Singapur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0B71E" w14:textId="77777777" w:rsidR="005D2621" w:rsidRPr="005D2621" w:rsidRDefault="005D2621" w:rsidP="005D262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5D2621" w:rsidRPr="005D2621" w14:paraId="7123AF68" w14:textId="77777777" w:rsidTr="005D2621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B777F" w14:textId="77777777" w:rsidR="005D2621" w:rsidRPr="005D2621" w:rsidRDefault="005D2621" w:rsidP="005D262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interno en clase turista Bangkok - Kuala Lumpur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3E84D" w14:textId="77777777" w:rsidR="005D2621" w:rsidRPr="005D2621" w:rsidRDefault="005D2621" w:rsidP="005D262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415</w:t>
            </w:r>
          </w:p>
        </w:tc>
      </w:tr>
      <w:tr w:rsidR="005D2621" w:rsidRPr="005D2621" w14:paraId="64DEE023" w14:textId="77777777" w:rsidTr="005D2621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D1608" w14:textId="77777777" w:rsidR="005D2621" w:rsidRPr="005D2621" w:rsidRDefault="005D2621" w:rsidP="005D262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interno en clase turista Bangkok - Maldivas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2DE16" w14:textId="77777777" w:rsidR="005D2621" w:rsidRPr="005D2621" w:rsidRDefault="005D2621" w:rsidP="005D262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D262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895</w:t>
            </w:r>
          </w:p>
        </w:tc>
      </w:tr>
    </w:tbl>
    <w:p w14:paraId="54B7EE34" w14:textId="6C9D03C3" w:rsidR="00267C89" w:rsidRPr="002867A3" w:rsidRDefault="00267C89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267C89" w:rsidRPr="002867A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A17D4" w14:textId="77777777" w:rsidR="0065606E" w:rsidRDefault="0065606E" w:rsidP="000D4B74">
      <w:r>
        <w:separator/>
      </w:r>
    </w:p>
  </w:endnote>
  <w:endnote w:type="continuationSeparator" w:id="0">
    <w:p w14:paraId="51056810" w14:textId="77777777" w:rsidR="0065606E" w:rsidRDefault="0065606E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0D198" w14:textId="77777777" w:rsidR="0065606E" w:rsidRDefault="0065606E" w:rsidP="000D4B74">
      <w:r>
        <w:separator/>
      </w:r>
    </w:p>
  </w:footnote>
  <w:footnote w:type="continuationSeparator" w:id="0">
    <w:p w14:paraId="6DC865B6" w14:textId="77777777" w:rsidR="0065606E" w:rsidRDefault="0065606E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D200B0D" w:rsidR="009A7BDC" w:rsidRDefault="00F93DD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TAILANDIA A</w:t>
                          </w:r>
                          <w:r w:rsidR="004E551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TU ALCANCE</w:t>
                          </w:r>
                        </w:p>
                        <w:p w14:paraId="041A546C" w14:textId="3B92D643" w:rsidR="00983E4D" w:rsidRPr="00983E4D" w:rsidRDefault="00F93DD1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720</w:t>
                          </w:r>
                          <w:r w:rsidR="009C68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4E551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D200B0D" w:rsidR="009A7BDC" w:rsidRDefault="00F93DD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TAILANDIA A</w:t>
                    </w:r>
                    <w:r w:rsidR="004E551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TU ALCANCE</w:t>
                    </w:r>
                  </w:p>
                  <w:p w14:paraId="041A546C" w14:textId="3B92D643" w:rsidR="00983E4D" w:rsidRPr="00983E4D" w:rsidRDefault="00F93DD1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720</w:t>
                    </w:r>
                    <w:r w:rsidR="009C68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4E551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72F"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467B3E1D" w:rsidR="009C6818" w:rsidRDefault="00516726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77E7EFF8" wp14:editId="68F45C6A">
          <wp:simplePos x="0" y="0"/>
          <wp:positionH relativeFrom="column">
            <wp:posOffset>3985895</wp:posOffset>
          </wp:positionH>
          <wp:positionV relativeFrom="paragraph">
            <wp:posOffset>5715</wp:posOffset>
          </wp:positionV>
          <wp:extent cx="855980" cy="571500"/>
          <wp:effectExtent l="0" t="0" r="1270" b="0"/>
          <wp:wrapSquare wrapText="bothSides"/>
          <wp:docPr id="817596107" name="Imagen 817596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a tu alcance - B 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88"/>
      </v:shape>
    </w:pict>
  </w:numPicBullet>
  <w:numPicBullet w:numPicBulletId="1">
    <w:pict>
      <v:shape id="_x0000_i105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5"/>
  </w:num>
  <w:num w:numId="6">
    <w:abstractNumId w:val="23"/>
  </w:num>
  <w:num w:numId="7">
    <w:abstractNumId w:val="0"/>
  </w:num>
  <w:num w:numId="8">
    <w:abstractNumId w:val="17"/>
  </w:num>
  <w:num w:numId="9">
    <w:abstractNumId w:val="18"/>
  </w:num>
  <w:num w:numId="10">
    <w:abstractNumId w:val="3"/>
  </w:num>
  <w:num w:numId="11">
    <w:abstractNumId w:val="2"/>
  </w:num>
  <w:num w:numId="12">
    <w:abstractNumId w:val="25"/>
  </w:num>
  <w:num w:numId="13">
    <w:abstractNumId w:val="16"/>
  </w:num>
  <w:num w:numId="14">
    <w:abstractNumId w:val="16"/>
  </w:num>
  <w:num w:numId="15">
    <w:abstractNumId w:val="27"/>
  </w:num>
  <w:num w:numId="16">
    <w:abstractNumId w:val="13"/>
  </w:num>
  <w:num w:numId="17">
    <w:abstractNumId w:val="4"/>
  </w:num>
  <w:num w:numId="18">
    <w:abstractNumId w:val="26"/>
  </w:num>
  <w:num w:numId="19">
    <w:abstractNumId w:val="24"/>
  </w:num>
  <w:num w:numId="20">
    <w:abstractNumId w:val="22"/>
  </w:num>
  <w:num w:numId="21">
    <w:abstractNumId w:val="19"/>
  </w:num>
  <w:num w:numId="22">
    <w:abstractNumId w:val="6"/>
  </w:num>
  <w:num w:numId="23">
    <w:abstractNumId w:val="28"/>
  </w:num>
  <w:num w:numId="24">
    <w:abstractNumId w:val="14"/>
  </w:num>
  <w:num w:numId="25">
    <w:abstractNumId w:val="21"/>
  </w:num>
  <w:num w:numId="26">
    <w:abstractNumId w:val="30"/>
  </w:num>
  <w:num w:numId="27">
    <w:abstractNumId w:val="7"/>
  </w:num>
  <w:num w:numId="28">
    <w:abstractNumId w:val="9"/>
  </w:num>
  <w:num w:numId="29">
    <w:abstractNumId w:val="20"/>
  </w:num>
  <w:num w:numId="30">
    <w:abstractNumId w:val="11"/>
  </w:num>
  <w:num w:numId="31">
    <w:abstractNumId w:val="1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784E"/>
    <w:rsid w:val="000A123F"/>
    <w:rsid w:val="000A6E1A"/>
    <w:rsid w:val="000A713A"/>
    <w:rsid w:val="000B0FC1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A5909"/>
    <w:rsid w:val="001B0DE1"/>
    <w:rsid w:val="001B4B19"/>
    <w:rsid w:val="001B650B"/>
    <w:rsid w:val="001C021B"/>
    <w:rsid w:val="001C6705"/>
    <w:rsid w:val="001D128E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3E11"/>
    <w:rsid w:val="003457CE"/>
    <w:rsid w:val="0035278D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35FEF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D0C08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6832"/>
    <w:rsid w:val="005C454E"/>
    <w:rsid w:val="005C6821"/>
    <w:rsid w:val="005D03DE"/>
    <w:rsid w:val="005D2621"/>
    <w:rsid w:val="005F0309"/>
    <w:rsid w:val="005F0DD1"/>
    <w:rsid w:val="0060307E"/>
    <w:rsid w:val="0060391A"/>
    <w:rsid w:val="00642EF2"/>
    <w:rsid w:val="0065253E"/>
    <w:rsid w:val="00652D3A"/>
    <w:rsid w:val="00653DC0"/>
    <w:rsid w:val="0065606E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4476C"/>
    <w:rsid w:val="007448E8"/>
    <w:rsid w:val="00761926"/>
    <w:rsid w:val="007661B4"/>
    <w:rsid w:val="00766A72"/>
    <w:rsid w:val="00772E37"/>
    <w:rsid w:val="0077546E"/>
    <w:rsid w:val="007772DE"/>
    <w:rsid w:val="00780DA0"/>
    <w:rsid w:val="00787154"/>
    <w:rsid w:val="007A2E4F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83ADC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3D9F"/>
    <w:rsid w:val="00914E7F"/>
    <w:rsid w:val="0092085C"/>
    <w:rsid w:val="00932A7B"/>
    <w:rsid w:val="009508D8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40804"/>
    <w:rsid w:val="00A40AE6"/>
    <w:rsid w:val="00A4361C"/>
    <w:rsid w:val="00A45D38"/>
    <w:rsid w:val="00A5530C"/>
    <w:rsid w:val="00A57A10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B040DA"/>
    <w:rsid w:val="00B16DFE"/>
    <w:rsid w:val="00B1776F"/>
    <w:rsid w:val="00B27F32"/>
    <w:rsid w:val="00B3014C"/>
    <w:rsid w:val="00B466CF"/>
    <w:rsid w:val="00B555E3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1D67"/>
    <w:rsid w:val="00BC7DBE"/>
    <w:rsid w:val="00BD16B0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4E68"/>
    <w:rsid w:val="00C56BE5"/>
    <w:rsid w:val="00C65462"/>
    <w:rsid w:val="00C65ECC"/>
    <w:rsid w:val="00C72470"/>
    <w:rsid w:val="00C738B0"/>
    <w:rsid w:val="00C75C8D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4EBF"/>
    <w:rsid w:val="00CD7F28"/>
    <w:rsid w:val="00CE2991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07A6"/>
    <w:rsid w:val="00D76DEC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2E8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633"/>
    <w:rsid w:val="00EF174B"/>
    <w:rsid w:val="00F00D43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E03"/>
    <w:rsid w:val="00F610FC"/>
    <w:rsid w:val="00F74BEB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EB44-7DBC-4BED-8B89-D165FD68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1164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25</cp:revision>
  <dcterms:created xsi:type="dcterms:W3CDTF">2026-04-16T16:35:00Z</dcterms:created>
  <dcterms:modified xsi:type="dcterms:W3CDTF">2026-04-16T20:26:00Z</dcterms:modified>
</cp:coreProperties>
</file>