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CC0" w:rsidRPr="001E2CC0" w:rsidRDefault="001E2CC0" w:rsidP="001E2CC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Whitehorse</w:t>
      </w:r>
    </w:p>
    <w:p w:rsidR="001E2CC0" w:rsidRDefault="001E2CC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E31664" w:rsidRDefault="00E31664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398BF5BD" wp14:editId="495F305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D6911BD6-EC8A-4D39-ADF7-6303105E3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D6911BD6-EC8A-4D39-ADF7-6303105E3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E31664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1D1FC0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</w:p>
    <w:p w:rsidR="001D1FC0" w:rsidRPr="00E31664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E31664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B94106" w:rsidRPr="00E31664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BA0647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15</w:t>
      </w:r>
      <w:r w:rsidR="008C2581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1E2CC0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agosto</w:t>
      </w:r>
      <w:r w:rsidR="008C2581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8B4F01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1E2CC0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B474F4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165DC3" w:rsidRPr="00E31664">
        <w:rPr>
          <w:rFonts w:ascii="Arial" w:hAnsi="Arial" w:cs="Arial"/>
          <w:b/>
          <w:bCs/>
          <w:sz w:val="20"/>
          <w:szCs w:val="20"/>
          <w:lang w:val="es-MX"/>
        </w:rPr>
        <w:t>octu</w:t>
      </w:r>
      <w:r w:rsidR="008C2581" w:rsidRPr="00E31664">
        <w:rPr>
          <w:rFonts w:ascii="Arial" w:hAnsi="Arial" w:cs="Arial"/>
          <w:b/>
          <w:bCs/>
          <w:sz w:val="20"/>
          <w:szCs w:val="20"/>
          <w:lang w:val="es-MX"/>
        </w:rPr>
        <w:t>bre</w:t>
      </w:r>
      <w:r w:rsidR="00BA0647"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6C392D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E31664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  <w:r w:rsidR="00EF7B44" w:rsidRPr="00E31664">
        <w:rPr>
          <w:noProof/>
          <w:sz w:val="20"/>
          <w:szCs w:val="20"/>
          <w:lang w:val="es-MX"/>
        </w:rPr>
        <w:t xml:space="preserve"> </w:t>
      </w:r>
    </w:p>
    <w:p w:rsidR="00AA05C1" w:rsidRPr="00E31664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E31664" w:rsidRPr="00E31664" w:rsidRDefault="00E31664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E31664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Día 1.-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Whitehorse</w:t>
      </w:r>
    </w:p>
    <w:p w:rsidR="00B7294F" w:rsidRPr="00E31664" w:rsidRDefault="00B7294F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 xml:space="preserve">Recepción en el aeropuerto por un guía de habla hispana. Traslado a su hotel y orientación del viaje con su guía. Whitehorse es una ciudad pequeña y se puede explorar fácilmente a pie o en vehículo. Resto del día libre para visitar. Después de una relajada </w:t>
      </w:r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en Whitehorse (no incluida)</w:t>
      </w:r>
      <w:r w:rsidRPr="00E31664">
        <w:rPr>
          <w:rFonts w:ascii="Arial" w:hAnsi="Arial" w:cs="Arial"/>
          <w:color w:val="FF0000"/>
          <w:sz w:val="20"/>
          <w:szCs w:val="20"/>
          <w:lang w:val="es-MX"/>
        </w:rPr>
        <w:t xml:space="preserve">, 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saldrá de nuevo, esta vez a buscar las impresionantes </w:t>
      </w:r>
      <w:r w:rsidRPr="00E31664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auroras boreales (incluido).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 Relájese en la comodidad de nuestro centro o bajo el cielo estrellado junto a una rica fogata en nuestra ubicación hecha a la medida. </w:t>
      </w:r>
      <w:r w:rsidRPr="00E31664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B7294F" w:rsidRPr="00E31664" w:rsidRDefault="00B7294F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65DC3" w:rsidRPr="00E31664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Día 2.-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Whitehorse</w:t>
      </w:r>
    </w:p>
    <w:p w:rsidR="00D013E2" w:rsidRPr="00E31664" w:rsidRDefault="00B7294F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 xml:space="preserve">Luego de descansar hasta tarde, lo pasaremos a buscar para tomar el </w:t>
      </w:r>
      <w:r w:rsidRPr="00E31664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Tour de la Ciudad de Whitehorse (Incluido).</w:t>
      </w:r>
      <w:r w:rsidRPr="00E31664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 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Whitehorse, la capital de Yukón, ofrece un encantador adentramiento a la historia del Norte. En este tour visitaremos SS Klondike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National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Historic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Site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, la iglesia Old Log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Church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y el Log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Cabin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Skyscraper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. Aprende sobre la prehistoria en el </w:t>
      </w:r>
      <w:r w:rsidR="00E31664" w:rsidRPr="00E31664">
        <w:rPr>
          <w:rFonts w:ascii="Arial" w:hAnsi="Arial" w:cs="Arial"/>
          <w:sz w:val="20"/>
          <w:szCs w:val="20"/>
          <w:lang w:val="es-MX"/>
        </w:rPr>
        <w:t>Yukón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 Beringia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Interpretative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Center. Después de haber visitado estos sitios,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Main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Street es perfecta para caminar y hacer compras. En la tarde puede contratar actividades en canoa o de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hicking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. Por la noche saldremos a buscar las impresionantes </w:t>
      </w:r>
      <w:r w:rsidRPr="00E31664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auroras boreales (incluido).</w:t>
      </w:r>
      <w:r w:rsidRPr="00E31664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</w:t>
      </w:r>
      <w:r w:rsidRPr="00E31664">
        <w:rPr>
          <w:rFonts w:ascii="Arial" w:hAnsi="Arial" w:cs="Arial"/>
          <w:sz w:val="20"/>
          <w:szCs w:val="20"/>
          <w:lang w:val="es-MX"/>
        </w:rPr>
        <w:t>Relájese en la comodidad de nuestro centro o bajo el cielo estrellado junto a una rica fogata en nuestra ubicación hecha a la medida.</w:t>
      </w: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:rsidR="00D013E2" w:rsidRPr="00E31664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E31664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Día 3.-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Whitehorse</w:t>
      </w:r>
    </w:p>
    <w:p w:rsidR="00B7294F" w:rsidRPr="00E31664" w:rsidRDefault="00B7294F" w:rsidP="008C2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Día libre.  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Recomendamos la </w:t>
      </w:r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visita de día completo de </w:t>
      </w:r>
      <w:proofErr w:type="spellStart"/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Kluane</w:t>
      </w:r>
      <w:proofErr w:type="spellEnd"/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National</w:t>
      </w:r>
      <w:proofErr w:type="spellEnd"/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Park (no incluida).</w:t>
      </w:r>
      <w:r w:rsidRPr="00E3166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En este tour visitarás el majestuoso parque nacional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Kluane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, que desde 1979 fue declarado patrimonio de la humanidad por la UNESCO.  Haremos una parada en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Sheep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Mountain con la esperanza de poder ver a las ovejas de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Dall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en su hábitat natural. También aprenderás más sobre los campos de hielo y glaciares de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Kluane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en el Centro de Visitantes del parque. Otra de las visitas recomendables es</w:t>
      </w: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tomar el tren White Pass hasta </w:t>
      </w:r>
      <w:proofErr w:type="spellStart"/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Skagway</w:t>
      </w:r>
      <w:proofErr w:type="spellEnd"/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(10 horas / no incluido)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 de ahí, viajamos a lo largo de la carretera South Klondike hasta Fraser, BC para conectar con las famosas y angostas vías del tren White Pass. En 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Skagway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podrás explorar el pueblo histórico que, durante la fiebre del oro, sirvió como entrada a muchos “</w:t>
      </w: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Stampeders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” en su camino hacia las minas de oro de Klondike. Por la noche, saldrá de nuevo, a buscar las impresionantes </w:t>
      </w:r>
      <w:r w:rsidRPr="00E31664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auroras boreales (incluido).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 Relájese en la comodidad de nuestro centro o bajo el cielo estrellado junto a una fogata en nuestra ubicación hecha a la medida.</w:t>
      </w: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  Alojamiento.</w:t>
      </w:r>
    </w:p>
    <w:p w:rsidR="00B7294F" w:rsidRPr="00E31664" w:rsidRDefault="00B7294F" w:rsidP="008C2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C2581" w:rsidRPr="00E31664" w:rsidRDefault="008C2581" w:rsidP="008C258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sz w:val="20"/>
          <w:szCs w:val="20"/>
          <w:lang w:val="es-MX"/>
        </w:rPr>
        <w:t xml:space="preserve">Día 4.- </w:t>
      </w:r>
      <w:r w:rsidR="00B7294F" w:rsidRPr="00E31664">
        <w:rPr>
          <w:rFonts w:ascii="Arial" w:hAnsi="Arial" w:cs="Arial"/>
          <w:b/>
          <w:bCs/>
          <w:sz w:val="20"/>
          <w:szCs w:val="20"/>
          <w:lang w:val="es-MX"/>
        </w:rPr>
        <w:t>Whitehorse</w:t>
      </w:r>
    </w:p>
    <w:p w:rsidR="00D013E2" w:rsidRPr="00E31664" w:rsidRDefault="00B7294F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 xml:space="preserve">A la hora acordada traslado al aeropuerto. </w:t>
      </w:r>
      <w:r w:rsidRPr="00E31664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D013E2" w:rsidRPr="00E31664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E31664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</w:t>
      </w:r>
      <w:r w:rsid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E31664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31664">
        <w:rPr>
          <w:rFonts w:ascii="Arial" w:hAnsi="Arial" w:cs="Arial"/>
          <w:b/>
          <w:bCs/>
          <w:lang w:val="es-MX"/>
        </w:rPr>
        <w:t>Incluye:</w:t>
      </w:r>
    </w:p>
    <w:p w:rsidR="00B7294F" w:rsidRPr="00E31664" w:rsidRDefault="00B7294F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3 noches de alojamiento en Whitehorse</w:t>
      </w:r>
    </w:p>
    <w:p w:rsidR="00B7294F" w:rsidRPr="00E31664" w:rsidRDefault="00B7294F" w:rsidP="00B7294F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Traslados y visita de Whitehorse en servicios regulares vehículos con capacidad controlada y previamente sanitizados</w:t>
      </w:r>
    </w:p>
    <w:p w:rsidR="00B7294F" w:rsidRDefault="00B7294F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3 días de tour de observación de Auroras Boreales incluyendo bebidas calientes y snacks</w:t>
      </w:r>
    </w:p>
    <w:p w:rsidR="008B4F01" w:rsidRPr="00E31664" w:rsidRDefault="008B4F01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Renta de ropa invernal, paquete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Northern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Lights</w:t>
      </w:r>
      <w:proofErr w:type="spellEnd"/>
    </w:p>
    <w:p w:rsidR="00D013E2" w:rsidRPr="00E31664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Visita de ciudad en servicios regulares con guía de habla hispana en servicios regulares vehículos con capacidad contralada y previamente sanitizados</w:t>
      </w:r>
    </w:p>
    <w:p w:rsidR="00D013E2" w:rsidRPr="00E31664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E31664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E31664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E31664">
        <w:rPr>
          <w:rFonts w:ascii="Arial" w:hAnsi="Arial" w:cs="Arial"/>
          <w:b/>
          <w:bCs/>
          <w:lang w:val="es-MX"/>
        </w:rPr>
        <w:t>No incluye:</w:t>
      </w:r>
    </w:p>
    <w:p w:rsidR="00AA05C1" w:rsidRPr="00E31664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E31664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E31664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E31664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D013E2" w:rsidRPr="00E31664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E31664">
        <w:rPr>
          <w:rFonts w:ascii="Arial" w:hAnsi="Arial" w:cs="Arial"/>
          <w:sz w:val="20"/>
          <w:szCs w:val="20"/>
          <w:lang w:val="es-MX"/>
        </w:rPr>
        <w:t>eT</w:t>
      </w:r>
      <w:r w:rsidR="00153A17" w:rsidRPr="00E31664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E31664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E31664">
        <w:rPr>
          <w:rFonts w:ascii="Arial" w:hAnsi="Arial" w:cs="Arial"/>
          <w:sz w:val="20"/>
          <w:szCs w:val="20"/>
          <w:lang w:val="es-MX"/>
        </w:rPr>
        <w:t>á</w:t>
      </w:r>
    </w:p>
    <w:p w:rsidR="00E31664" w:rsidRDefault="00E31664" w:rsidP="0083402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3402F" w:rsidRPr="00E31664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3166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E31664" w:rsidRDefault="008B4F0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Consultar tarifa y edad para menor y junior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E31664">
        <w:rPr>
          <w:rFonts w:ascii="Arial" w:hAnsi="Arial" w:cs="Arial"/>
          <w:sz w:val="20"/>
          <w:szCs w:val="20"/>
          <w:lang w:val="es-MX"/>
        </w:rPr>
        <w:t>habitación</w:t>
      </w:r>
      <w:r w:rsidRPr="00E3166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265192" w:rsidRPr="00E31664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E31664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E31664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E31664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31664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3166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3166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AA05C1" w:rsidRPr="00E31664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3166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B7294F" w:rsidRDefault="00B7294F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E3166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14 días antes de la llegada 100% de gastos</w:t>
      </w:r>
    </w:p>
    <w:p w:rsidR="006C392D" w:rsidRPr="00383E65" w:rsidRDefault="006C392D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383E65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El vuelo de llegada deberá ser antes de las 07:00 PM hora local, de no ser así, perderán el traslado de llegada y la primera noche de observación de auroras boreales.</w:t>
      </w:r>
    </w:p>
    <w:p w:rsidR="00153A17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4413"/>
        <w:gridCol w:w="566"/>
      </w:tblGrid>
      <w:tr w:rsidR="008B4F01" w:rsidRPr="008B4F01" w:rsidTr="008B4F01">
        <w:trPr>
          <w:trHeight w:val="269"/>
          <w:jc w:val="center"/>
        </w:trPr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8B4F01" w:rsidRPr="008B4F01" w:rsidTr="008B4F01">
        <w:trPr>
          <w:trHeight w:val="269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8B4F01" w:rsidRPr="008B4F01" w:rsidTr="008B4F01">
        <w:trPr>
          <w:trHeight w:val="269"/>
          <w:jc w:val="center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lang w:val="es-MX" w:eastAsia="es-MX" w:bidi="ar-SA"/>
              </w:rPr>
              <w:t>WHITEHORSE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lang w:val="es-MX" w:eastAsia="es-MX" w:bidi="ar-SA"/>
              </w:rPr>
              <w:t>STERNWHEELER HOTEL / QUALITY INN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B4F01" w:rsidRPr="008B4F01" w:rsidTr="008B4F01">
        <w:trPr>
          <w:trHeight w:val="269"/>
          <w:jc w:val="center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lang w:val="es-MX" w:eastAsia="es-MX" w:bidi="ar-SA"/>
              </w:rPr>
              <w:t>EDGEWATER HOTEL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8B4F01" w:rsidRPr="008B4F01" w:rsidTr="008B4F01">
        <w:trPr>
          <w:trHeight w:val="269"/>
          <w:jc w:val="center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lang w:val="es-MX" w:eastAsia="es-MX" w:bidi="ar-SA"/>
              </w:rPr>
              <w:t>RAVEN INN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8B4F01" w:rsidRPr="008B4F01" w:rsidTr="008B4F01">
        <w:trPr>
          <w:trHeight w:val="269"/>
          <w:jc w:val="center"/>
        </w:trPr>
        <w:tc>
          <w:tcPr>
            <w:tcW w:w="6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B7294F" w:rsidRDefault="00B7294F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8B4F01" w:rsidRDefault="008B4F01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4"/>
        <w:gridCol w:w="589"/>
        <w:gridCol w:w="589"/>
        <w:gridCol w:w="589"/>
        <w:gridCol w:w="589"/>
        <w:gridCol w:w="1204"/>
        <w:gridCol w:w="1251"/>
      </w:tblGrid>
      <w:tr w:rsidR="00F1377A" w:rsidRPr="00F1377A" w:rsidTr="00F1377A">
        <w:trPr>
          <w:trHeight w:val="201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7-17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(3-6)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lang w:val="es-MX" w:eastAsia="es-MX" w:bidi="ar-SA"/>
              </w:rPr>
              <w:t>STERNWHEELER HOTEL / QUALITY INN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960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810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600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lang w:val="es-MX" w:eastAsia="es-MX" w:bidi="ar-SA"/>
              </w:rPr>
              <w:t>EDGEWATER HOTEL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1100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870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640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lang w:val="es-MX" w:eastAsia="es-MX" w:bidi="ar-SA"/>
              </w:rPr>
              <w:t>RAVEN INN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1590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7-17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(3-6)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lang w:val="es-MX" w:eastAsia="es-MX" w:bidi="ar-SA"/>
              </w:rPr>
              <w:t>STERNWHEELER HOTEL / QUALITY INN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2140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2080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2040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2440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1720</w:t>
            </w:r>
          </w:p>
        </w:tc>
      </w:tr>
      <w:tr w:rsidR="00F1377A" w:rsidRPr="00F1377A" w:rsidTr="00F1377A">
        <w:trPr>
          <w:trHeight w:val="20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lang w:val="es-MX" w:eastAsia="es-MX" w:bidi="ar-SA"/>
              </w:rPr>
              <w:t>EDGEWATER HOTEL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2160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2120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2630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1990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</w:tr>
      <w:tr w:rsidR="00F1377A" w:rsidRPr="00F1377A" w:rsidTr="00F1377A">
        <w:trPr>
          <w:trHeight w:val="211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lang w:val="es-MX" w:eastAsia="es-MX" w:bidi="ar-SA"/>
              </w:rPr>
              <w:t>RAVEN INN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2710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7A" w:rsidRPr="00F1377A" w:rsidRDefault="00F1377A" w:rsidP="00F137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1377A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</w:tr>
    </w:tbl>
    <w:p w:rsidR="00B474F4" w:rsidRDefault="00B474F4" w:rsidP="00E316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WHITEHORSE - VANCOUVER - MÉXICO</w:t>
            </w:r>
          </w:p>
        </w:tc>
      </w:tr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8B4F01" w:rsidRPr="008B4F01" w:rsidTr="008B4F01">
        <w:trPr>
          <w:trHeight w:val="245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3 A 6 AÑOS Y JUNIOR DE 7 A 17 AÑOS</w:t>
            </w:r>
          </w:p>
        </w:tc>
      </w:tr>
      <w:tr w:rsidR="008B4F01" w:rsidRPr="008B4F01" w:rsidTr="008B4F01">
        <w:trPr>
          <w:trHeight w:val="257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15 DE AGOSTO AL 15 DE OCTUBRE 2024</w:t>
            </w:r>
          </w:p>
        </w:tc>
      </w:tr>
      <w:tr w:rsidR="008B4F01" w:rsidRPr="008B4F01" w:rsidTr="008B4F01">
        <w:trPr>
          <w:trHeight w:val="257"/>
          <w:jc w:val="center"/>
        </w:trPr>
        <w:tc>
          <w:tcPr>
            <w:tcW w:w="993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8B4F01" w:rsidRDefault="008B4F01" w:rsidP="00E3166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8B4F01" w:rsidRDefault="008B4F01" w:rsidP="008B4F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63CE9441" wp14:editId="071A7E39">
            <wp:extent cx="2466975" cy="653415"/>
            <wp:effectExtent l="0" t="0" r="9525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CE6D90C2-C9D2-4EE9-ADF6-65856E11C4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CE6D90C2-C9D2-4EE9-ADF6-65856E11C40E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01" w:rsidRDefault="008B4F01" w:rsidP="008B4F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11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6"/>
        <w:gridCol w:w="637"/>
        <w:gridCol w:w="1952"/>
        <w:gridCol w:w="154"/>
      </w:tblGrid>
      <w:tr w:rsidR="008B4F01" w:rsidRPr="008B4F01" w:rsidTr="008B4F01">
        <w:trPr>
          <w:gridAfter w:val="1"/>
          <w:wAfter w:w="154" w:type="dxa"/>
          <w:trHeight w:val="255"/>
          <w:jc w:val="center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8B4F01" w:rsidRPr="008B4F01" w:rsidTr="008B4F01">
        <w:trPr>
          <w:gridAfter w:val="1"/>
          <w:wAfter w:w="154" w:type="dxa"/>
          <w:trHeight w:val="255"/>
          <w:jc w:val="center"/>
        </w:trPr>
        <w:tc>
          <w:tcPr>
            <w:tcW w:w="11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8B4F01" w:rsidRPr="008B4F01" w:rsidTr="008B4F01">
        <w:trPr>
          <w:gridAfter w:val="1"/>
          <w:wAfter w:w="155" w:type="dxa"/>
          <w:trHeight w:val="255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(7-17)</w:t>
            </w:r>
          </w:p>
        </w:tc>
      </w:tr>
      <w:tr w:rsidR="008B4F01" w:rsidRPr="008B4F01" w:rsidTr="008B4F01">
        <w:trPr>
          <w:gridAfter w:val="1"/>
          <w:wAfter w:w="155" w:type="dxa"/>
          <w:trHeight w:val="255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TREN WHITE PASS &amp; SKAGWAY | DÍA COMPLETO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</w:tr>
      <w:tr w:rsidR="008B4F01" w:rsidRPr="008B4F01" w:rsidTr="008B4F01">
        <w:trPr>
          <w:gridAfter w:val="1"/>
          <w:wAfter w:w="154" w:type="dxa"/>
          <w:trHeight w:val="497"/>
          <w:jc w:val="center"/>
        </w:trPr>
        <w:tc>
          <w:tcPr>
            <w:tcW w:w="110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Este tour comienza en Whitehorse; de ahí, viajaremos a lo largo de la carretera Klondike Sur hasta Fraser, British Columbia, para conectar con las famosas y angostas vías del tren White Pass, pasando por la cima de White Pass hacia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Skagway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, Alaska.</w:t>
            </w:r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br/>
              <w:t xml:space="preserve">En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Skagway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podrás explorar el pueblo histórico que, durante la fiebre del oro, sirvió como entrada a muchos “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Stampeders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” (buscadores de oro) en su camino hacia las minas de oro de Klondike.</w:t>
            </w: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(7-17)</w:t>
            </w:r>
          </w:p>
        </w:tc>
        <w:tc>
          <w:tcPr>
            <w:tcW w:w="154" w:type="dxa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TOUR AL PARQUE NACIONAL KLUANE | DÍA COMPLETO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200</w:t>
            </w:r>
          </w:p>
        </w:tc>
        <w:tc>
          <w:tcPr>
            <w:tcW w:w="154" w:type="dxa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En este tour visitará el magnífico Parque Nacional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Kluane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, declarado Patrimonio de la Humanidad por la UNESCO en 1979. Visitaremos el pintoresco lago Kathleen y disfrutaremos de una breve caminata en el glaciar Rock, que ofrece una magnífica vista de los lagos y montañas que rodean el Parque Nacional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Kluane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. En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Haines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Junction visitaremos el Centro Cultural Da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Kų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para conocer más sobre la rica historia del Parque Nacional </w:t>
            </w:r>
            <w:proofErr w:type="spell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Kluane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, que alberga el mayor campo de hielo no polar.</w:t>
            </w:r>
          </w:p>
        </w:tc>
        <w:tc>
          <w:tcPr>
            <w:tcW w:w="154" w:type="dxa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68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(13-17)</w:t>
            </w:r>
          </w:p>
        </w:tc>
        <w:tc>
          <w:tcPr>
            <w:tcW w:w="154" w:type="dxa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8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TOUR DE CANOTAJE | MEDIO DÍA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154" w:type="dxa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En este tour remarás en canoa a lo largo del histórico Río Yukón al mismo tiempo que disfrutas de una atmósfera de tranquilidad. Remaremos desde Whitehorse hasta la confluencia con el Río de </w:t>
            </w:r>
            <w:proofErr w:type="spellStart"/>
            <w:proofErr w:type="gramStart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Takhini</w:t>
            </w:r>
            <w:proofErr w:type="spell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.</w:t>
            </w:r>
            <w:proofErr w:type="gramEnd"/>
            <w:r w:rsidRPr="008B4F0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Es un gran paseo para remadores principiantes y una gran manera de disfrutar el clásico río nórdico.</w:t>
            </w:r>
          </w:p>
        </w:tc>
        <w:tc>
          <w:tcPr>
            <w:tcW w:w="154" w:type="dxa"/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8B4F01" w:rsidRPr="008B4F01" w:rsidTr="008B4F01">
        <w:trPr>
          <w:trHeight w:val="255"/>
          <w:jc w:val="center"/>
        </w:trPr>
        <w:tc>
          <w:tcPr>
            <w:tcW w:w="110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F01" w:rsidRPr="008B4F01" w:rsidRDefault="008B4F01" w:rsidP="008B4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:rsidR="008B4F01" w:rsidRPr="00E31664" w:rsidRDefault="008B4F01" w:rsidP="008B4F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8B4F01" w:rsidRPr="00E31664" w:rsidSect="00E31664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0F8" w:rsidRDefault="00A710F8" w:rsidP="00450C15">
      <w:pPr>
        <w:spacing w:after="0" w:line="240" w:lineRule="auto"/>
      </w:pPr>
      <w:r>
        <w:separator/>
      </w:r>
    </w:p>
  </w:endnote>
  <w:endnote w:type="continuationSeparator" w:id="0">
    <w:p w:rsidR="00A710F8" w:rsidRDefault="00A710F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F4604A" wp14:editId="1E1ECDCD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6AA8EB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0F8" w:rsidRDefault="00A710F8" w:rsidP="00450C15">
      <w:pPr>
        <w:spacing w:after="0" w:line="240" w:lineRule="auto"/>
      </w:pPr>
      <w:r>
        <w:separator/>
      </w:r>
    </w:p>
  </w:footnote>
  <w:footnote w:type="continuationSeparator" w:id="0">
    <w:p w:rsidR="00A710F8" w:rsidRDefault="00A710F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35363E" wp14:editId="396EE20F">
              <wp:simplePos x="0" y="0"/>
              <wp:positionH relativeFrom="column">
                <wp:posOffset>-407670</wp:posOffset>
              </wp:positionH>
              <wp:positionV relativeFrom="paragraph">
                <wp:posOffset>-449580</wp:posOffset>
              </wp:positionV>
              <wp:extent cx="4638675" cy="11887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E31664" w:rsidRDefault="00B7294F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316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AURORAS BOREALES EN EL YUKÓN EN VERANO</w:t>
                          </w:r>
                        </w:p>
                        <w:p w:rsidR="00B7294F" w:rsidRPr="007E6927" w:rsidRDefault="00E31664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1454-E202</w:t>
                          </w:r>
                          <w:r w:rsidR="006C392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5363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1pt;margin-top:-35.4pt;width:365.25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" filled="f" stroked="f">
              <v:textbox>
                <w:txbxContent>
                  <w:p w:rsidR="007A77DC" w:rsidRPr="00E31664" w:rsidRDefault="00B7294F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316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AURORAS BOREALES EN EL YUKÓN EN VERANO</w:t>
                    </w:r>
                  </w:p>
                  <w:p w:rsidR="00B7294F" w:rsidRPr="007E6927" w:rsidRDefault="00E31664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1454-E202</w:t>
                    </w:r>
                    <w:r w:rsidR="006C392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6DE324C0" wp14:editId="3E05C8A5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EEF352F" wp14:editId="39D844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D0BEAD" wp14:editId="3B2FD46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3DF1C0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10.25pt;height:410.25pt" o:bullet="t">
        <v:imagedata r:id="rId1" o:title="clip_image001"/>
      </v:shape>
    </w:pict>
  </w:numPicBullet>
  <w:numPicBullet w:numPicBulletId="1">
    <w:pict>
      <v:shape id="_x0000_i1071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D783A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53A17"/>
    <w:rsid w:val="0015438F"/>
    <w:rsid w:val="00156E7E"/>
    <w:rsid w:val="00165DC3"/>
    <w:rsid w:val="00170958"/>
    <w:rsid w:val="001966E3"/>
    <w:rsid w:val="001A52D8"/>
    <w:rsid w:val="001A58AA"/>
    <w:rsid w:val="001A5E6D"/>
    <w:rsid w:val="001D0A35"/>
    <w:rsid w:val="001D1FC0"/>
    <w:rsid w:val="001D3EA5"/>
    <w:rsid w:val="001D59AE"/>
    <w:rsid w:val="001E0BFB"/>
    <w:rsid w:val="001E177F"/>
    <w:rsid w:val="001E2CC0"/>
    <w:rsid w:val="001E33CC"/>
    <w:rsid w:val="001E49A4"/>
    <w:rsid w:val="001E6442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65192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5E79"/>
    <w:rsid w:val="003370E9"/>
    <w:rsid w:val="00353340"/>
    <w:rsid w:val="00354501"/>
    <w:rsid w:val="0035732A"/>
    <w:rsid w:val="003726A3"/>
    <w:rsid w:val="003805A5"/>
    <w:rsid w:val="00383E6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696A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2195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600B50"/>
    <w:rsid w:val="0060471A"/>
    <w:rsid w:val="006053CD"/>
    <w:rsid w:val="006130D1"/>
    <w:rsid w:val="00615736"/>
    <w:rsid w:val="00623F54"/>
    <w:rsid w:val="00630B01"/>
    <w:rsid w:val="006472F8"/>
    <w:rsid w:val="00647995"/>
    <w:rsid w:val="00655755"/>
    <w:rsid w:val="00667115"/>
    <w:rsid w:val="00673D43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B64B8"/>
    <w:rsid w:val="006C1BF7"/>
    <w:rsid w:val="006C392D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646E1"/>
    <w:rsid w:val="00772BB6"/>
    <w:rsid w:val="00781EA2"/>
    <w:rsid w:val="00784A59"/>
    <w:rsid w:val="00785687"/>
    <w:rsid w:val="00792A3C"/>
    <w:rsid w:val="0079315A"/>
    <w:rsid w:val="00796421"/>
    <w:rsid w:val="007A77DC"/>
    <w:rsid w:val="007B0A65"/>
    <w:rsid w:val="007B4221"/>
    <w:rsid w:val="007B5A10"/>
    <w:rsid w:val="007C6783"/>
    <w:rsid w:val="007D40C6"/>
    <w:rsid w:val="007E1125"/>
    <w:rsid w:val="007E278A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91A2A"/>
    <w:rsid w:val="00894F82"/>
    <w:rsid w:val="008A2C96"/>
    <w:rsid w:val="008A6696"/>
    <w:rsid w:val="008B406F"/>
    <w:rsid w:val="008B4F01"/>
    <w:rsid w:val="008B7201"/>
    <w:rsid w:val="008C2581"/>
    <w:rsid w:val="008F0CE2"/>
    <w:rsid w:val="009025BC"/>
    <w:rsid w:val="00902CE2"/>
    <w:rsid w:val="009227E5"/>
    <w:rsid w:val="00922A13"/>
    <w:rsid w:val="00932207"/>
    <w:rsid w:val="00934D10"/>
    <w:rsid w:val="00943885"/>
    <w:rsid w:val="00944382"/>
    <w:rsid w:val="00945F28"/>
    <w:rsid w:val="00946EA6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6CF5"/>
    <w:rsid w:val="00A410E9"/>
    <w:rsid w:val="00A4233B"/>
    <w:rsid w:val="00A42A00"/>
    <w:rsid w:val="00A52F6E"/>
    <w:rsid w:val="00A57319"/>
    <w:rsid w:val="00A57BCB"/>
    <w:rsid w:val="00A67672"/>
    <w:rsid w:val="00A67A3A"/>
    <w:rsid w:val="00A710F8"/>
    <w:rsid w:val="00A730C8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14C"/>
    <w:rsid w:val="00AF38FC"/>
    <w:rsid w:val="00AF48C2"/>
    <w:rsid w:val="00B0056D"/>
    <w:rsid w:val="00B03159"/>
    <w:rsid w:val="00B15711"/>
    <w:rsid w:val="00B36A64"/>
    <w:rsid w:val="00B474F4"/>
    <w:rsid w:val="00B47722"/>
    <w:rsid w:val="00B4786E"/>
    <w:rsid w:val="00B55CCC"/>
    <w:rsid w:val="00B608F4"/>
    <w:rsid w:val="00B67AB9"/>
    <w:rsid w:val="00B70462"/>
    <w:rsid w:val="00B70B31"/>
    <w:rsid w:val="00B70BD8"/>
    <w:rsid w:val="00B7294F"/>
    <w:rsid w:val="00B770D6"/>
    <w:rsid w:val="00B878B9"/>
    <w:rsid w:val="00B94106"/>
    <w:rsid w:val="00B96BB5"/>
    <w:rsid w:val="00BA0647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47B68"/>
    <w:rsid w:val="00C50ABF"/>
    <w:rsid w:val="00C55C28"/>
    <w:rsid w:val="00C60443"/>
    <w:rsid w:val="00C632D6"/>
    <w:rsid w:val="00C70110"/>
    <w:rsid w:val="00C834CC"/>
    <w:rsid w:val="00C95D03"/>
    <w:rsid w:val="00CA4683"/>
    <w:rsid w:val="00CC16AE"/>
    <w:rsid w:val="00CC18B7"/>
    <w:rsid w:val="00CE1CC7"/>
    <w:rsid w:val="00CE7934"/>
    <w:rsid w:val="00CF6EEC"/>
    <w:rsid w:val="00D013E2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664"/>
    <w:rsid w:val="00E31C43"/>
    <w:rsid w:val="00E32DE6"/>
    <w:rsid w:val="00E477EC"/>
    <w:rsid w:val="00E54233"/>
    <w:rsid w:val="00E663D4"/>
    <w:rsid w:val="00E7309E"/>
    <w:rsid w:val="00E74618"/>
    <w:rsid w:val="00E74AD0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3ECA"/>
    <w:rsid w:val="00EF313D"/>
    <w:rsid w:val="00EF7B44"/>
    <w:rsid w:val="00F00F60"/>
    <w:rsid w:val="00F11662"/>
    <w:rsid w:val="00F11C4C"/>
    <w:rsid w:val="00F1377A"/>
    <w:rsid w:val="00F1599F"/>
    <w:rsid w:val="00F523B5"/>
    <w:rsid w:val="00F61470"/>
    <w:rsid w:val="00F74B6B"/>
    <w:rsid w:val="00F75E72"/>
    <w:rsid w:val="00F96F4D"/>
    <w:rsid w:val="00FA41DC"/>
    <w:rsid w:val="00FD3171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744A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F4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5C4C0-07F2-4485-B304-46672F48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2024-02-20T17:43:00Z</dcterms:created>
  <dcterms:modified xsi:type="dcterms:W3CDTF">2024-02-20T17:43:00Z</dcterms:modified>
</cp:coreProperties>
</file>