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536C8" w14:textId="2B4FC598" w:rsidR="00AB4FC0" w:rsidRPr="00C850C8" w:rsidRDefault="00AC7003" w:rsidP="00C850C8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MARRAKECH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- ESSAOUIRA – EL JADIDA – CASABLANCA – MEKNES – FEZ – 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RABAT - 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MARRAKECH</w:t>
      </w:r>
    </w:p>
    <w:p w14:paraId="0FE5C48B" w14:textId="3F2ECA15" w:rsidR="00386E61" w:rsidRPr="00C850C8" w:rsidRDefault="00C850C8" w:rsidP="00AB4FC0">
      <w:pPr>
        <w:pStyle w:val="Sinespaciado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  <w:r w:rsidRPr="00C850C8">
        <w:rPr>
          <w:rFonts w:ascii="Arial" w:hAnsi="Arial" w:cs="Arial"/>
          <w:b/>
          <w:color w:val="000000" w:themeColor="text1"/>
          <w:sz w:val="28"/>
          <w:szCs w:val="28"/>
          <w:lang w:val="es-MX"/>
        </w:rPr>
        <w:t>Promoción 2X1</w:t>
      </w:r>
    </w:p>
    <w:p w14:paraId="7CB1BE5E" w14:textId="474E2134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8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7BA1B83A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6D08A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 enero 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0911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 octubre 2026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71A633BD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14D297E3" w14:textId="31D4043B" w:rsidR="00FE71CE" w:rsidRPr="00AC7003" w:rsidRDefault="00FE71CE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al aeropuerto internacional de </w:t>
      </w:r>
      <w:r w:rsidR="002724B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Marrakech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="00275726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con asistencia al hotel para la </w:t>
      </w:r>
      <w:r w:rsidR="00275726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BB17CC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AC7003">
        <w:rPr>
          <w:rFonts w:ascii="Arial" w:hAnsi="Arial" w:cs="Arial"/>
          <w:b/>
          <w:bCs/>
          <w:sz w:val="20"/>
          <w:szCs w:val="20"/>
        </w:rPr>
        <w:t>.</w:t>
      </w:r>
    </w:p>
    <w:p w14:paraId="3DC8932F" w14:textId="77777777" w:rsidR="00AD4689" w:rsidRPr="006C05B8" w:rsidRDefault="00AD4689" w:rsidP="00AD468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33A13942" w14:textId="7B989A75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Essaouira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El Jadida - Casablanca</w:t>
      </w:r>
    </w:p>
    <w:p w14:paraId="21803A94" w14:textId="0BB3D784" w:rsidR="00FE71CE" w:rsidRPr="006C05B8" w:rsidRDefault="009401A0" w:rsidP="00FE7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temprano hacia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Essaouira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de esta histórica ciudad portuaria, famosa por su primer puerto fortificado. Almuerzo (no incluido). Continuación hacia Casablanca, pasando por la carretera del Atlántico, con paradas en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Oualidia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Jadida. Visita de orientación en El Jadida, antigua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Mazagan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construida por los portugueses, con la posibilidad de visitar la Cisterna portuguesa. Llegada a Casablanca, </w:t>
      </w:r>
      <w:r w:rsidR="00EE1F77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041B638E" w14:textId="77777777" w:rsidR="00EE1F77" w:rsidRPr="006C05B8" w:rsidRDefault="00EE1F77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</w:p>
    <w:p w14:paraId="27C18422" w14:textId="68C1867E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 – Meknes - Fez</w:t>
      </w:r>
    </w:p>
    <w:p w14:paraId="4557E034" w14:textId="0A282A36" w:rsidR="000E650D" w:rsidRPr="00AC7003" w:rsidRDefault="009401A0" w:rsidP="00476A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de Casablanca, capital económica de Marruecos, incluyendo el distrito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Habous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Palacio Real, la plaza Mohamed V, la zona residencial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Anfa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exterior de la Mezquita Hassan II. Salida hacia Meknes para recorrer la ciudad, conocida por sus murallas más largas, la puerta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Bab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Mansour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los establos reales y el barrio judío.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Continuamos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la ciudad sagrada de Moulay Driss (vista panorámica) y visita a las ruinas romanas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Volubilis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</w:t>
      </w:r>
      <w:r w:rsid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 Fez, </w:t>
      </w:r>
      <w:r w:rsidR="00E60168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cena y 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7ED5A371" w14:textId="77777777" w:rsidR="00B96545" w:rsidRPr="006C05B8" w:rsidRDefault="00B96545" w:rsidP="00476A01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9EDC86D" w14:textId="683E3E8C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Fez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76B44954" w14:textId="5A1A7A11" w:rsidR="000E650D" w:rsidRPr="00AC7003" w:rsidRDefault="009401A0" w:rsidP="008A61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Todo el día estará dedicado a conocer la capital espiritual: la Medina Medieval con su “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Attarine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Bou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Anania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Medersas”, la fuente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Nejjarine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Mausoleo de Moulay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Idriss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la Mezquita de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Karaouine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visita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exterior</w:t>
      </w:r>
      <w:r w:rsidR="00610D30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solamente. Almuerzo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Por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la tarde, visita de los zocos y de Fez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Jdid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51A647D9" w14:textId="77777777" w:rsidR="008A61B2" w:rsidRPr="006C05B8" w:rsidRDefault="008A61B2" w:rsidP="008A61B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0D84F683" w14:textId="6BF8CD3A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Fez – Rabat - Marrakech</w:t>
      </w:r>
    </w:p>
    <w:p w14:paraId="70DFDC57" w14:textId="13F7556F" w:rsidR="00267430" w:rsidRPr="00880DDE" w:rsidRDefault="00275726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Rabat, la capital administrativa, para visitar el Palacio Real (</w:t>
      </w:r>
      <w:proofErr w:type="spellStart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Mechouar</w:t>
      </w:r>
      <w:proofErr w:type="spellEnd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), el Mausoleo de Mohamed V y la Mezquita de la Torre Hassan. Almuerzo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Seguimos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Marrakech. Llegada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7F194C9" w14:textId="77777777" w:rsidR="00275726" w:rsidRPr="006C05B8" w:rsidRDefault="00275726" w:rsidP="00275726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52BDD128" w14:textId="7374A735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61A7529F" w14:textId="1C3FDEF4" w:rsidR="00275726" w:rsidRPr="00880DDE" w:rsidRDefault="00267430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Recorrido completo por la ciudad roja, con visitas a los Jardines de la Menara, el Palacio Bahía, la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Koutubia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Museo Dar si Said. Almuerzo en el hotel</w:t>
      </w:r>
      <w:r w:rsidR="00BB17CC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(incluido)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Por la tarde, visita a los zocos y barrios de artesanos, terminando en la famosa Plaza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Cena con espectáculo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(añádelo agregándolo </w:t>
      </w:r>
      <w:proofErr w:type="spellStart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326387AA" w14:textId="1B9F8BB6" w:rsidR="005140B0" w:rsidRPr="006C05B8" w:rsidRDefault="005140B0" w:rsidP="005140B0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7BEF1302" w14:textId="58A57F2F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206EA5EE" w14:textId="73C601FA" w:rsidR="006C05B8" w:rsidRPr="00880DDE" w:rsidRDefault="006C05B8" w:rsidP="006C0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Día libre para explorar la ciudad a tu ritmo o aprovechar </w:t>
      </w:r>
      <w:r w:rsidR="00880DDE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los tours opcionales disponibles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proofErr w:type="spellStart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Almuerzo por cuenta propia.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 en el hotel.</w:t>
      </w:r>
    </w:p>
    <w:p w14:paraId="358E0810" w14:textId="77777777" w:rsidR="00476A01" w:rsidRPr="006C05B8" w:rsidRDefault="00476A01" w:rsidP="00476A01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F20F1D7" w14:textId="4D6B3789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55A2F83D" w14:textId="5E974A92" w:rsidR="00962053" w:rsidRPr="006C05B8" w:rsidRDefault="00880DDE" w:rsidP="00EA06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kern w:val="36"/>
          <w:sz w:val="20"/>
          <w:szCs w:val="20"/>
          <w:lang w:val="es-MX" w:eastAsia="pt-PT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INCLUYE</w:t>
      </w:r>
    </w:p>
    <w:bookmarkEnd w:id="1"/>
    <w:p w14:paraId="7D77B493" w14:textId="2896E916" w:rsidR="00F12A19" w:rsidRPr="003B7450" w:rsidRDefault="00F12A19" w:rsidP="00F12A19">
      <w:pPr>
        <w:pStyle w:val="Sinespaciado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 noches de alojamiento en los hoteles indicados o similares.</w:t>
      </w:r>
    </w:p>
    <w:p w14:paraId="2BE75A7B" w14:textId="6E9C600B" w:rsidR="00F70668" w:rsidRPr="003B7450" w:rsidRDefault="00F70668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7 desayunos, 1 almuerzo y </w:t>
      </w:r>
      <w:r w:rsidR="003B745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 (sin bebidas)</w:t>
      </w:r>
    </w:p>
    <w:p w14:paraId="04C3756B" w14:textId="0F1ECE91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597C4B48" w14:textId="77777777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de lujo con aire acondicionado, adaptado según al número de pasajeros</w:t>
      </w:r>
      <w:r w:rsidR="00146A0A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en servicio compartido con capacidad controlada y vehículos previamente sanitizados. </w:t>
      </w:r>
    </w:p>
    <w:p w14:paraId="1060F8F4" w14:textId="567FCF6D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bilingüe (español</w:t>
      </w:r>
      <w:r w:rsidR="003B745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portugués </w:t>
      </w:r>
      <w:r w:rsidR="0028424D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inglés) acompañante durante todo el recorrido </w:t>
      </w:r>
    </w:p>
    <w:p w14:paraId="733B5C6A" w14:textId="77777777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</w:t>
      </w:r>
      <w:r w:rsidR="009271F2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962053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47553C0E" w14:textId="77777777" w:rsidR="000E650D" w:rsidRPr="003B7450" w:rsidRDefault="000E650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en los lugares indicados en el programa</w:t>
      </w:r>
    </w:p>
    <w:p w14:paraId="03F1B215" w14:textId="77777777" w:rsidR="00501558" w:rsidRPr="00C3575E" w:rsidRDefault="00501558" w:rsidP="00501558">
      <w:pPr>
        <w:pStyle w:val="Sinespaciado"/>
        <w:ind w:left="720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0AFDBB0C" w14:textId="01E3A4FD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52A87E7E" w:rsidR="00320130" w:rsidRPr="00320130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153D22C7" w14:textId="77777777" w:rsidR="00320130" w:rsidRPr="0030604F" w:rsidRDefault="00320130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96"/>
        <w:gridCol w:w="4091"/>
        <w:gridCol w:w="432"/>
      </w:tblGrid>
      <w:tr w:rsidR="005A6EF1" w:rsidRPr="005A6EF1" w14:paraId="273C7825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A5F07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A6EF1" w:rsidRPr="005A6EF1" w14:paraId="46FAF94D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9ECCC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E2148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F9275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8166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A6EF1" w:rsidRPr="005A6EF1" w14:paraId="1726083F" w14:textId="77777777" w:rsidTr="005A6EF1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AD13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A224B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2913A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RYAD MOGADOR AGDAL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A532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63D0E617" w14:textId="77777777" w:rsidTr="005A6EF1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0805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64F4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CED3D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KENZI ROSE GARDEN / RYAD MOGADOR MENARA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5F5BA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A6EF1" w:rsidRPr="005A6EF1" w14:paraId="58FFB167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7F49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545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CASABLANCA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561A5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KENSI BASMA / NOVOTEL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FD5F4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3930B66F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AC5C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2D7F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84670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TOWER / GRAND MOGADOR CITY CENTER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326B4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A6EF1" w:rsidRPr="005A6EF1" w14:paraId="1FF16305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3A182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7C24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FEZ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42323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ZALAGH PARC / MENZEH ZALAGH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C25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2804C02E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8C9E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2CB1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24AFC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HERITAGE BOUTIQUE / PALAIS MEDINA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3605E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0DA69FE" w14:textId="77777777" w:rsidR="00236C91" w:rsidRDefault="00236C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822"/>
        <w:gridCol w:w="822"/>
      </w:tblGrid>
      <w:tr w:rsidR="00BE52D6" w:rsidRPr="00BE52D6" w14:paraId="48553D1E" w14:textId="77777777" w:rsidTr="00BE52D6">
        <w:trPr>
          <w:trHeight w:val="28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97975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  <w:lang w:val="es-MX" w:eastAsia="es-MX"/>
              </w:rPr>
              <w:t>TARIFA</w:t>
            </w:r>
            <w:r w:rsidRPr="00BE52D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EN USD </w:t>
            </w:r>
            <w:r w:rsidRPr="00BE52D6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 xml:space="preserve">POR HABITACIÓN </w:t>
            </w:r>
          </w:p>
        </w:tc>
      </w:tr>
      <w:tr w:rsidR="00BE52D6" w:rsidRPr="00BE52D6" w14:paraId="40B5533C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689E9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E52D6" w:rsidRPr="00BE52D6" w14:paraId="4D7959C7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7095B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E9265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2F838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4533BB" w:rsidRPr="00BE52D6" w14:paraId="3598F5C8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6148A" w14:textId="77777777" w:rsidR="004533BB" w:rsidRPr="00BE52D6" w:rsidRDefault="004533BB" w:rsidP="004533B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EC588" w14:textId="7F344B22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CAC3F" w14:textId="0D45FBDB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1635</w:t>
            </w:r>
          </w:p>
        </w:tc>
      </w:tr>
      <w:tr w:rsidR="004533BB" w:rsidRPr="00BE52D6" w14:paraId="4420067B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9CE1A" w14:textId="77777777" w:rsidR="004533BB" w:rsidRPr="00BE52D6" w:rsidRDefault="004533BB" w:rsidP="004533B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FEB 2026 AL 22 MAY 2026/ 31 JUL 2026 AL 23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48A1F" w14:textId="18402750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9676" w14:textId="212043BE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1790</w:t>
            </w:r>
          </w:p>
        </w:tc>
      </w:tr>
      <w:tr w:rsidR="00BE52D6" w:rsidRPr="00BE52D6" w14:paraId="366A155C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7FD1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53451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D487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4533BB" w:rsidRPr="00BE52D6" w14:paraId="42AE02DD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24DDB" w14:textId="77777777" w:rsidR="004533BB" w:rsidRPr="00BE52D6" w:rsidRDefault="004533BB" w:rsidP="004533B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17F76" w14:textId="78521A9A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38E7C" w14:textId="4DEAF042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2230</w:t>
            </w:r>
          </w:p>
        </w:tc>
      </w:tr>
      <w:tr w:rsidR="004533BB" w:rsidRPr="00BE52D6" w14:paraId="3746EA0F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ADA1" w14:textId="77777777" w:rsidR="004533BB" w:rsidRPr="00BE52D6" w:rsidRDefault="004533BB" w:rsidP="004533B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FEB 2026 AL 22 MAY 2026/ 31 JUL 2026 AL 23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1CF0F" w14:textId="03B021BB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3375</w:t>
            </w:r>
            <w:bookmarkStart w:id="3" w:name="_GoBack"/>
            <w:bookmarkEnd w:id="3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1368F" w14:textId="0E3BCBE4" w:rsidR="004533BB" w:rsidRPr="00BE52D6" w:rsidRDefault="004533BB" w:rsidP="004533B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2500</w:t>
            </w:r>
          </w:p>
        </w:tc>
      </w:tr>
      <w:tr w:rsidR="00BE52D6" w:rsidRPr="00BE52D6" w14:paraId="0588AE3F" w14:textId="77777777" w:rsidTr="00BE52D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E20A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</w:t>
            </w: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lastRenderedPageBreak/>
              <w:t xml:space="preserve">CONGRESOS O EVENTOS ESPECIALES. CONSULTAR SUPLEMENTO </w:t>
            </w:r>
            <w:r w:rsidRPr="00BE52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BE52D6" w:rsidRPr="00BE52D6" w14:paraId="4FBA22A5" w14:textId="77777777" w:rsidTr="00BE52D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641A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52D6" w:rsidRPr="00BE52D6" w14:paraId="6E0461C6" w14:textId="77777777" w:rsidTr="00BE52D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EEAE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52D6" w:rsidRPr="00BE52D6" w14:paraId="496CE304" w14:textId="77777777" w:rsidTr="00BE52D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DD98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4F3F75E" w14:textId="3E6598C8" w:rsidR="0036479B" w:rsidRDefault="0036479B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285F244" w14:textId="09986883" w:rsidR="0030604F" w:rsidRDefault="0030604F" w:rsidP="0082134E">
      <w:pPr>
        <w:jc w:val="both"/>
        <w:rPr>
          <w:rFonts w:ascii="Calibri" w:hAnsi="Calibri" w:cs="Calibri"/>
          <w:b/>
          <w:bCs/>
          <w:color w:val="FFFFFF"/>
          <w:sz w:val="22"/>
          <w:szCs w:val="20"/>
          <w:lang w:val="es-MX" w:eastAsia="es-MX"/>
        </w:rPr>
      </w:pPr>
    </w:p>
    <w:p w14:paraId="6EB7E9BF" w14:textId="175D9A7A" w:rsidR="00C43391" w:rsidRDefault="0036479B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41D77F8" wp14:editId="0853320D">
            <wp:simplePos x="0" y="0"/>
            <wp:positionH relativeFrom="column">
              <wp:posOffset>2571750</wp:posOffset>
            </wp:positionH>
            <wp:positionV relativeFrom="paragraph">
              <wp:posOffset>14605</wp:posOffset>
            </wp:positionV>
            <wp:extent cx="1409700" cy="364490"/>
            <wp:effectExtent l="0" t="0" r="0" b="0"/>
            <wp:wrapSquare wrapText="bothSides"/>
            <wp:docPr id="753639817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39817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E86EB" w14:textId="00CAA4C4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791F99F0" w14:textId="4C6188DE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8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1"/>
        <w:gridCol w:w="815"/>
      </w:tblGrid>
      <w:tr w:rsidR="00AB0D35" w:rsidRPr="00AB0D35" w14:paraId="5BC9DA41" w14:textId="77777777" w:rsidTr="00AB0D35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75BCE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AB0D35" w:rsidRPr="00AB0D35" w14:paraId="14E86629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6E985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pensión completa 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98177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AB0D35" w:rsidRPr="00AB0D35" w14:paraId="3225815A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3E1A7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de Fez nocturno con show y una bebida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48455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55</w:t>
            </w:r>
          </w:p>
        </w:tc>
      </w:tr>
      <w:tr w:rsidR="00AB0D35" w:rsidRPr="00AB0D35" w14:paraId="7EAD87D8" w14:textId="77777777" w:rsidTr="00AB0D35">
        <w:trPr>
          <w:trHeight w:val="311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036AE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nocturno en Marrakech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E9B03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AB0D35" w:rsidRPr="00AB0D35" w14:paraId="2AAF00A6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16DCA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Medio día de excursión al Valle de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Ourika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(almuerzo no incluido) 4hrs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DD632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B0D35" w:rsidRPr="00AB0D35" w14:paraId="7B19A020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8BAE6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sin guía a los Jardines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Majorelle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&amp; YSL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Museum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(2hrs)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6C4D3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AB0D35" w:rsidRPr="00AB0D35" w14:paraId="401D387A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0E4C9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Paseo en camello por el Palmeral (min 4pax, duración una hora y media) 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5C1EC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B0D35" w:rsidRPr="00AB0D35" w14:paraId="45323E6F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C6D92" w14:textId="0AA59C30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Cena en Marrakech, con espectáculo en el P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alacio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Dar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Soukkar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(3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"Palacio de Azúcar”, comienza en el S XVI, cuando fue construido a partir de las ruinas de una fábrica de azúcar. Este Palacio cuenta con un entorno idílico, teniendo también una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comida y espectáculo que reflejan la gracia y refinamiento de la hospitalidad marroquí.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45E4B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AB0D35" w:rsidRPr="00AB0D35" w14:paraId="0C6140AF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20456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globo (4hrs total – 1hr de vuelo)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El descubrimiento en globo de los fabulosos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paisajes de Marruecos se convierte en una actividad excepcional al aire libre. Nota: Vuelos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sujetos a las condiciones atmosféricas.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D332F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</w:tbl>
    <w:p w14:paraId="30DE6603" w14:textId="77777777" w:rsidR="00C43391" w:rsidRP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C43391" w:rsidRPr="00C43391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DFAA5" w14:textId="77777777" w:rsidR="00570A3B" w:rsidRDefault="00570A3B" w:rsidP="000D4B74">
      <w:r>
        <w:separator/>
      </w:r>
    </w:p>
  </w:endnote>
  <w:endnote w:type="continuationSeparator" w:id="0">
    <w:p w14:paraId="66B89013" w14:textId="77777777" w:rsidR="00570A3B" w:rsidRDefault="00570A3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3E74" w14:textId="77777777" w:rsidR="00570A3B" w:rsidRDefault="00570A3B" w:rsidP="000D4B74">
      <w:r>
        <w:separator/>
      </w:r>
    </w:p>
  </w:footnote>
  <w:footnote w:type="continuationSeparator" w:id="0">
    <w:p w14:paraId="300437E2" w14:textId="77777777" w:rsidR="00570A3B" w:rsidRDefault="00570A3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12AA2E9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9FE1BBF" wp14:editId="63BF7520">
          <wp:simplePos x="0" y="0"/>
          <wp:positionH relativeFrom="column">
            <wp:posOffset>3829050</wp:posOffset>
          </wp:positionH>
          <wp:positionV relativeFrom="paragraph">
            <wp:posOffset>293370</wp:posOffset>
          </wp:positionV>
          <wp:extent cx="1001395" cy="6667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1FF438E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326B4041" w:rsidR="00F8405F" w:rsidRDefault="00F8405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MARRUECOS ESTELAR </w:t>
                          </w:r>
                        </w:p>
                        <w:p w14:paraId="04DCC640" w14:textId="10AAE918" w:rsidR="00F8405F" w:rsidRPr="00F8405F" w:rsidRDefault="00F8405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1265-C202</w:t>
                          </w:r>
                          <w:r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326B4041" w:rsidR="00F8405F" w:rsidRDefault="00F8405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MARRUECOS ESTELAR </w:t>
                    </w:r>
                  </w:p>
                  <w:p w14:paraId="04DCC640" w14:textId="10AAE918" w:rsidR="00F8405F" w:rsidRPr="00F8405F" w:rsidRDefault="00F8405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1265-C202</w:t>
                    </w:r>
                    <w:r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6A0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4BD3"/>
    <w:rsid w:val="00254C9A"/>
    <w:rsid w:val="00266C66"/>
    <w:rsid w:val="00267430"/>
    <w:rsid w:val="002724BD"/>
    <w:rsid w:val="00275726"/>
    <w:rsid w:val="0028424D"/>
    <w:rsid w:val="002A2511"/>
    <w:rsid w:val="002A5349"/>
    <w:rsid w:val="0030604F"/>
    <w:rsid w:val="00320130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9036E"/>
    <w:rsid w:val="00391009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42B49"/>
    <w:rsid w:val="004533BB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38C3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0A3B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61926"/>
    <w:rsid w:val="00772E37"/>
    <w:rsid w:val="00777000"/>
    <w:rsid w:val="00787154"/>
    <w:rsid w:val="007940A2"/>
    <w:rsid w:val="007A3810"/>
    <w:rsid w:val="007B181F"/>
    <w:rsid w:val="007B3A41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3663A"/>
    <w:rsid w:val="0084494D"/>
    <w:rsid w:val="008459CB"/>
    <w:rsid w:val="00851DB8"/>
    <w:rsid w:val="00851FF4"/>
    <w:rsid w:val="008524D6"/>
    <w:rsid w:val="00871CAB"/>
    <w:rsid w:val="00880DDE"/>
    <w:rsid w:val="008875BA"/>
    <w:rsid w:val="008A61B2"/>
    <w:rsid w:val="008B1270"/>
    <w:rsid w:val="008C02E6"/>
    <w:rsid w:val="008E1988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422D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40DA"/>
    <w:rsid w:val="00B116B6"/>
    <w:rsid w:val="00B1776F"/>
    <w:rsid w:val="00B26979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1D67"/>
    <w:rsid w:val="00BC41B2"/>
    <w:rsid w:val="00BD16B0"/>
    <w:rsid w:val="00BE2332"/>
    <w:rsid w:val="00BE52D6"/>
    <w:rsid w:val="00BE5FE6"/>
    <w:rsid w:val="00BF7473"/>
    <w:rsid w:val="00C07711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7B69"/>
    <w:rsid w:val="00DD2FA9"/>
    <w:rsid w:val="00DE04BE"/>
    <w:rsid w:val="00DE0B11"/>
    <w:rsid w:val="00E0332B"/>
    <w:rsid w:val="00E0383C"/>
    <w:rsid w:val="00E440DD"/>
    <w:rsid w:val="00E60168"/>
    <w:rsid w:val="00E634F1"/>
    <w:rsid w:val="00E63A7A"/>
    <w:rsid w:val="00E80B4F"/>
    <w:rsid w:val="00E82E1B"/>
    <w:rsid w:val="00E90844"/>
    <w:rsid w:val="00EA06DF"/>
    <w:rsid w:val="00EC3F09"/>
    <w:rsid w:val="00ED2C26"/>
    <w:rsid w:val="00ED7C08"/>
    <w:rsid w:val="00EE1F77"/>
    <w:rsid w:val="00F100EB"/>
    <w:rsid w:val="00F11BB9"/>
    <w:rsid w:val="00F12A19"/>
    <w:rsid w:val="00F13539"/>
    <w:rsid w:val="00F1356C"/>
    <w:rsid w:val="00F13DA8"/>
    <w:rsid w:val="00F252D8"/>
    <w:rsid w:val="00F610FC"/>
    <w:rsid w:val="00F61FF1"/>
    <w:rsid w:val="00F64005"/>
    <w:rsid w:val="00F70668"/>
    <w:rsid w:val="00F735EB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C529-655A-4A9F-92E0-B417EA69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10</cp:revision>
  <dcterms:created xsi:type="dcterms:W3CDTF">2025-12-19T00:03:00Z</dcterms:created>
  <dcterms:modified xsi:type="dcterms:W3CDTF">2026-03-30T16:53:00Z</dcterms:modified>
</cp:coreProperties>
</file>