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A947C6" w:rsidP="003B69D8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Calgary y </w:t>
      </w:r>
      <w:proofErr w:type="spellStart"/>
      <w:r>
        <w:rPr>
          <w:rFonts w:ascii="Arial" w:hAnsi="Arial" w:cs="Arial"/>
          <w:b/>
          <w:bCs/>
          <w:lang w:val="es-MX"/>
        </w:rPr>
        <w:t>Banff</w:t>
      </w:r>
      <w:proofErr w:type="spellEnd"/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3B69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A1B6F3" wp14:editId="68F45DD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8045" cy="485775"/>
            <wp:effectExtent l="0" t="0" r="0" b="952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F3CC0E-E688-48A5-8579-37FFF7A13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F3CC0E-E688-48A5-8579-37FFF7A13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B7F01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EB7F01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DF3D92">
        <w:rPr>
          <w:rFonts w:ascii="Arial" w:hAnsi="Arial" w:cs="Arial"/>
          <w:b/>
          <w:bCs/>
          <w:sz w:val="20"/>
          <w:szCs w:val="20"/>
          <w:lang w:val="es-MX"/>
        </w:rPr>
        <w:t>26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EB7F01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A947C6">
        <w:rPr>
          <w:rFonts w:ascii="Arial" w:hAnsi="Arial" w:cs="Arial"/>
          <w:b/>
          <w:bCs/>
          <w:sz w:val="20"/>
          <w:szCs w:val="20"/>
          <w:lang w:val="es-MX"/>
        </w:rPr>
        <w:t>Calgary</w:t>
      </w:r>
    </w:p>
    <w:p w:rsidR="00D013E2" w:rsidRPr="00940E5A" w:rsidRDefault="00A947C6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>Recepción en el aeropuerto con entrega de documentación para el viaje y traslado al hotel en Calgary.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2.- </w:t>
      </w:r>
      <w:r w:rsidR="00A947C6">
        <w:rPr>
          <w:rFonts w:ascii="Arial" w:hAnsi="Arial" w:cs="Arial"/>
          <w:b/>
          <w:bCs/>
          <w:sz w:val="20"/>
          <w:szCs w:val="20"/>
          <w:lang w:val="es-MX"/>
        </w:rPr>
        <w:t xml:space="preserve">Calgary –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D013E2" w:rsidRPr="00940E5A" w:rsidRDefault="00A947C6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 xml:space="preserve">Por la mañana salida hacia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. </w:t>
      </w:r>
      <w:r w:rsidRPr="00A947C6">
        <w:rPr>
          <w:rFonts w:ascii="Arial" w:hAnsi="Arial" w:cs="Arial"/>
          <w:b/>
          <w:bCs/>
          <w:sz w:val="20"/>
          <w:szCs w:val="20"/>
          <w:u w:val="single"/>
          <w:lang w:val="es-MX"/>
        </w:rPr>
        <w:t>El traslado (</w:t>
      </w:r>
      <w:proofErr w:type="spellStart"/>
      <w:r w:rsidRPr="00A947C6">
        <w:rPr>
          <w:rFonts w:ascii="Arial" w:hAnsi="Arial" w:cs="Arial"/>
          <w:b/>
          <w:bCs/>
          <w:sz w:val="20"/>
          <w:szCs w:val="20"/>
          <w:u w:val="single"/>
          <w:lang w:val="es-MX"/>
        </w:rPr>
        <w:t>shuttle</w:t>
      </w:r>
      <w:proofErr w:type="spellEnd"/>
      <w:r w:rsidRPr="00A947C6">
        <w:rPr>
          <w:rFonts w:ascii="Arial" w:hAnsi="Arial" w:cs="Arial"/>
          <w:b/>
          <w:bCs/>
          <w:sz w:val="20"/>
          <w:szCs w:val="20"/>
          <w:u w:val="single"/>
          <w:lang w:val="es-MX"/>
        </w:rPr>
        <w:t>) se realiza en idioma inglés.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 A 90 minutos de Calgary, se levanta la belleza de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sin rival. Anidado en el valle protegido por los picos montañosos,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es un oasis alpino de actividad, aventura y vistas inspirantes. Por la tarde sugerimos caminar por las calles de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o tomar el </w:t>
      </w: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teleférico a la cima de la Montaña </w:t>
      </w:r>
      <w:proofErr w:type="spellStart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Sulphur</w:t>
      </w:r>
      <w:proofErr w:type="spellEnd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(opcional),</w:t>
      </w:r>
      <w:r w:rsidRPr="00A947C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que les permitirás tener vistas maravillosas del Valle de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.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3.-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D013E2" w:rsidRDefault="00A947C6" w:rsidP="00A94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Recomendamos realizar el </w:t>
      </w: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invierno en </w:t>
      </w:r>
      <w:proofErr w:type="spellStart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(No incluido /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 inglés / diciembre a marzo).</w:t>
      </w:r>
      <w:r w:rsidRPr="00A947C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Disfruta de una de nuestras experiencias de invierno más icónicas en el oeste canadiense. Incluye alquiler de raquetas de nieve, Cave &amp;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Basin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National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Historic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Site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y el teleférico de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. Los puntos que se visitan en este tour son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Two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Jack Lake, Lake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Minnewanka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, Cave &amp;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Basin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National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Historic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Site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, el Fairmont Springs Hotel y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Falls.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69D8" w:rsidRPr="00940E5A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A947C6">
        <w:rPr>
          <w:rFonts w:ascii="Arial" w:hAnsi="Arial" w:cs="Arial"/>
          <w:b/>
          <w:bCs/>
          <w:sz w:val="20"/>
          <w:szCs w:val="20"/>
          <w:lang w:val="es-MX"/>
        </w:rPr>
        <w:t xml:space="preserve"> – Lake Louise –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3B69D8" w:rsidRPr="003B69D8" w:rsidRDefault="00A947C6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 xml:space="preserve">Este día disfrutarán </w:t>
      </w:r>
      <w:r w:rsidRPr="00A947C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la visita en el famoso Lake Louise (incluido/en inglés).</w:t>
      </w:r>
      <w:r w:rsidRPr="00A947C6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El bellísimo Lake Louise está localizado en el corazón de las Rocosas y a sólo una hora de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. Una vez en Lake Louise tendremos oportunidad de realizar una corta </w:t>
      </w:r>
      <w:r w:rsidRPr="00A947C6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caminata con raquetas de nieve (incluido / sin guía / a partir de diciembre 1)</w:t>
      </w:r>
      <w:r w:rsidRPr="00A947C6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o visitar el famoso hotel Fairmont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Château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Lake Louise. Mount Victoria con el Glaciar Victoria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(3,464 m) es probablemente el pico más fotografiado en las Rocosas, por encontrarse como marco de fondo a Lake Louise. Regreso a su hotel en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sz w:val="20"/>
          <w:szCs w:val="20"/>
          <w:lang w:val="es-MX"/>
        </w:rPr>
        <w:t xml:space="preserve"> a las 17:15 horas aproximadamente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="003B69D8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64A37" w:rsidRPr="00940E5A" w:rsidRDefault="00364A37" w:rsidP="00364A3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364A37" w:rsidRPr="00A947C6" w:rsidRDefault="00364A37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="00A947C6">
        <w:rPr>
          <w:rFonts w:ascii="Arial" w:hAnsi="Arial" w:cs="Arial"/>
          <w:sz w:val="20"/>
          <w:szCs w:val="20"/>
          <w:lang w:val="es-MX"/>
        </w:rPr>
        <w:t xml:space="preserve">Recomendamos </w:t>
      </w:r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pasear por el encantador pueblo de </w:t>
      </w:r>
      <w:proofErr w:type="spellStart"/>
      <w:r w:rsidR="00A947C6"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. Disfrute de las compras en </w:t>
      </w:r>
      <w:proofErr w:type="spellStart"/>
      <w:r w:rsidR="00A947C6"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 Avenue y sus diversos restaurantes y cafés. Durante nuestro tiempo libre podremos realizar una actividad única haciendo un </w:t>
      </w:r>
      <w:r w:rsidR="00A947C6"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Trineo de Perros (opcional),</w:t>
      </w:r>
      <w:r w:rsidR="00A947C6" w:rsidRPr="00A947C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con duración de 2 horas. ¡Este ha sido el medio de transporte más antiguo en Canadá!, ofrece diversión familiar, escapes románticos e increíbles aventuras. Durante el tour irán acompañados de un guía profesional y un feliz equipo de perros </w:t>
      </w:r>
      <w:proofErr w:type="spellStart"/>
      <w:r w:rsidR="00A947C6" w:rsidRPr="00A947C6">
        <w:rPr>
          <w:rFonts w:ascii="Arial" w:hAnsi="Arial" w:cs="Arial"/>
          <w:sz w:val="20"/>
          <w:szCs w:val="20"/>
          <w:lang w:val="es-MX"/>
        </w:rPr>
        <w:t>Alaskan</w:t>
      </w:r>
      <w:proofErr w:type="spellEnd"/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A947C6" w:rsidRPr="00A947C6">
        <w:rPr>
          <w:rFonts w:ascii="Arial" w:hAnsi="Arial" w:cs="Arial"/>
          <w:sz w:val="20"/>
          <w:szCs w:val="20"/>
          <w:lang w:val="es-MX"/>
        </w:rPr>
        <w:t>Huskies</w:t>
      </w:r>
      <w:proofErr w:type="spellEnd"/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. Sugerimos realizar, de manera </w:t>
      </w:r>
      <w:r w:rsidR="00A947C6"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opcional, una caminata con raquetas de nieve (</w:t>
      </w:r>
      <w:proofErr w:type="spellStart"/>
      <w:r w:rsidR="00A947C6"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snowshoes</w:t>
      </w:r>
      <w:proofErr w:type="spellEnd"/>
      <w:r w:rsidR="00A947C6"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), esquiar o realizar un paseo en motos de nieve.</w:t>
      </w:r>
      <w:r w:rsidRPr="00A947C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64A37" w:rsidRPr="00940E5A" w:rsidRDefault="00364A37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364A37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A947C6">
        <w:rPr>
          <w:rFonts w:ascii="Arial" w:hAnsi="Arial" w:cs="Arial"/>
          <w:b/>
          <w:bCs/>
          <w:sz w:val="20"/>
          <w:szCs w:val="20"/>
          <w:lang w:val="es-MX"/>
        </w:rPr>
        <w:t xml:space="preserve"> – Calgary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ETA </w:t>
      </w:r>
      <w:r w:rsidR="00EB7F0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 VISA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A947C6" w:rsidRDefault="00A947C6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>1 noche de alojamiento en Calgary</w:t>
      </w:r>
      <w:r>
        <w:rPr>
          <w:rFonts w:ascii="Arial" w:hAnsi="Arial" w:cs="Arial"/>
          <w:sz w:val="20"/>
          <w:szCs w:val="20"/>
          <w:lang w:val="es-MX"/>
        </w:rPr>
        <w:t xml:space="preserve"> y </w:t>
      </w:r>
      <w:r w:rsidRPr="00A947C6">
        <w:rPr>
          <w:rFonts w:ascii="Arial" w:hAnsi="Arial" w:cs="Arial"/>
          <w:sz w:val="20"/>
          <w:szCs w:val="20"/>
          <w:lang w:val="es-MX"/>
        </w:rPr>
        <w:t>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</w:p>
    <w:p w:rsidR="00A947C6" w:rsidRDefault="00A947C6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 xml:space="preserve">Traslados de entrada en español y resto de servicios en idioma inglés </w:t>
      </w:r>
      <w:r w:rsidRPr="00940E5A">
        <w:rPr>
          <w:rFonts w:ascii="Arial" w:hAnsi="Arial" w:cs="Arial"/>
          <w:sz w:val="20"/>
          <w:szCs w:val="20"/>
          <w:lang w:val="es-MX"/>
        </w:rPr>
        <w:t>en servicios regulares vehículos con capacidad contralada y previamente sanitizados</w:t>
      </w:r>
    </w:p>
    <w:p w:rsidR="00A947C6" w:rsidRDefault="00A947C6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947C6">
        <w:rPr>
          <w:rFonts w:ascii="Arial" w:hAnsi="Arial" w:cs="Arial"/>
          <w:sz w:val="20"/>
          <w:szCs w:val="20"/>
          <w:lang w:val="es-MX"/>
        </w:rPr>
        <w:t>Tour y servicios mencionados en itinerario</w:t>
      </w:r>
    </w:p>
    <w:p w:rsidR="00D013E2" w:rsidRPr="00940E5A" w:rsidRDefault="00D013E2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</w:t>
      </w:r>
      <w:r w:rsidR="00A947C6">
        <w:rPr>
          <w:rFonts w:ascii="Arial" w:hAnsi="Arial" w:cs="Arial"/>
          <w:sz w:val="20"/>
          <w:szCs w:val="20"/>
          <w:lang w:val="es-MX"/>
        </w:rPr>
        <w:t xml:space="preserve"> 12, 14 o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</w:t>
      </w:r>
      <w:r w:rsidR="00364A37">
        <w:rPr>
          <w:rFonts w:ascii="Arial" w:hAnsi="Arial" w:cs="Arial"/>
          <w:sz w:val="20"/>
          <w:szCs w:val="20"/>
          <w:lang w:val="es-MX"/>
        </w:rPr>
        <w:t>18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años</w:t>
      </w:r>
      <w:r w:rsidR="00A947C6">
        <w:rPr>
          <w:rFonts w:ascii="Arial" w:hAnsi="Arial" w:cs="Arial"/>
          <w:sz w:val="20"/>
          <w:szCs w:val="20"/>
          <w:lang w:val="es-MX"/>
        </w:rPr>
        <w:t>, dependiendo el hotel.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153A17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4A37" w:rsidRDefault="00364A37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orden de las visitas será reconfirmado a la llegada de los pasajeros.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día de la visita de la ciudad de Vancouver, pudiendo variar de día de operación.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No se reembolsará ningún traslado o visita en el caso de no disfrute o de cancelación.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Precios en dólares canadienses por persona ($CAD)</w:t>
      </w:r>
    </w:p>
    <w:p w:rsid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 de niño aplica cuando comparte habitación con 2 adultos</w:t>
      </w:r>
    </w:p>
    <w:p w:rsidR="00A947C6" w:rsidRDefault="00A947C6" w:rsidP="00A947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947C6" w:rsidRDefault="00A947C6" w:rsidP="00A947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ESPECIALES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proofErr w:type="spellStart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Shuttles</w:t>
      </w:r>
      <w:proofErr w:type="spellEnd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en idioma inglés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El </w:t>
      </w:r>
      <w:proofErr w:type="spellStart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de salida desde el Hotel de </w:t>
      </w:r>
      <w:proofErr w:type="spellStart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Banff</w:t>
      </w:r>
      <w:proofErr w:type="spellEnd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al Aeropuerto de Calgary tiene una duración de 2.5 horas. El primer </w:t>
      </w:r>
      <w:proofErr w:type="spellStart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es en la mañana (08:00am), por lo que el vuelo de salida deberá ser en la tarde.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Habitaciones estándar. En caso de preferir habitaciones superiores favor de consultar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mayoría de las actividades de invierno operan a partir de diciembre 1.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hoteles Fairmont cobran suplemento por la segunda cama en las habitaciones dobles.</w:t>
      </w:r>
    </w:p>
    <w:p w:rsidR="0010130B" w:rsidRPr="00EB7F01" w:rsidRDefault="00A947C6" w:rsidP="00EB7F01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visita de Lake Louise (Servicios en inglés) solo opera de diciembre 1 202</w:t>
      </w:r>
      <w:r w:rsid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</w:t>
      </w: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 abril 18 202</w:t>
      </w:r>
      <w:r w:rsid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4</w:t>
      </w: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br/>
      </w:r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Fuera de esa fecha se dará opción alternativa.</w:t>
      </w:r>
    </w:p>
    <w:p w:rsidR="0010130B" w:rsidRDefault="0010130B" w:rsidP="001013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</w:p>
    <w:p w:rsidR="0010130B" w:rsidRDefault="0010130B" w:rsidP="001013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</w:p>
    <w:p w:rsidR="0010130B" w:rsidRDefault="0010130B" w:rsidP="001013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INCLUSIONES FAIRMONT BANFF SPRINGS</w:t>
      </w:r>
    </w:p>
    <w:p w:rsidR="0010130B" w:rsidRDefault="0010130B" w:rsidP="0010130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• Servicio de transporte al restaurante y pub </w:t>
      </w:r>
      <w:proofErr w:type="spellStart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Waldhaus</w:t>
      </w:r>
      <w:proofErr w:type="spellEnd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, al campo de golf y a la casa club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Transporte público gratuito (pases de transporte ROAM disponibles)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• </w:t>
      </w:r>
      <w:proofErr w:type="spellStart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Health</w:t>
      </w:r>
      <w:proofErr w:type="spellEnd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Club con clases diarias de fitness, yoga y meditación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Centro acuático con piscinas cubiertas y al aire libre, jacuzzi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Incluye recorridos en bicicleta, recorridos a pie, recorridos por la historia del hotel, recorridos por la ciudad, excursiones por senderos locales y por las montañas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Observación de estrellas y raquetas de nieve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Incluye alquiler de bicicletas durante una hora, raquetas de nieve, crampones para hielo, bastones de senderismo y trineos de trineo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Programas familiares, recreativos y culturales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• Incluye noches de cine, trivial, bingo, búsqueda del tesoro, noches de pintura, diversión familiar, </w:t>
      </w:r>
      <w:proofErr w:type="spellStart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curling</w:t>
      </w:r>
      <w:proofErr w:type="spellEnd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bávaro, patinaje sobre hielo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• Ping </w:t>
      </w:r>
      <w:proofErr w:type="spellStart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Pong</w:t>
      </w:r>
      <w:proofErr w:type="spellEnd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billar en el Centro Canadiense de Bolos y Entretenimiento</w:t>
      </w:r>
    </w:p>
    <w:p w:rsid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•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Canchas</w:t>
      </w: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de tenis 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–</w:t>
      </w: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incluye raqueta y noches de </w:t>
      </w:r>
      <w:proofErr w:type="spellStart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Skill</w:t>
      </w:r>
      <w:proofErr w:type="spellEnd"/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&amp; Drill (verano)</w:t>
      </w:r>
    </w:p>
    <w:p w:rsidR="0010130B" w:rsidRPr="0010130B" w:rsidRDefault="0010130B" w:rsidP="001013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• Acceso gratuito al Museo Whyte</w:t>
      </w:r>
    </w:p>
    <w:p w:rsidR="00A947C6" w:rsidRDefault="00A947C6" w:rsidP="0010130B">
      <w:pPr>
        <w:pStyle w:val="Prrafodelista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947C6" w:rsidRPr="00A947C6" w:rsidRDefault="00A947C6" w:rsidP="00A947C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Política prepago y cancelación</w:t>
      </w:r>
    </w:p>
    <w:p w:rsidR="0010130B" w:rsidRDefault="0010130B" w:rsidP="00A947C6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10130B">
        <w:rPr>
          <w:rFonts w:ascii="Arial" w:hAnsi="Arial" w:cs="Arial"/>
          <w:color w:val="FF0000"/>
          <w:sz w:val="20"/>
          <w:szCs w:val="20"/>
          <w:lang w:val="es-MX" w:eastAsia="es-ES" w:bidi="ar-SA"/>
        </w:rPr>
        <w:t xml:space="preserve">Prepago del 100% de la reserva dos semanas antes según la política de cancelación, excepto fechas de Navidad y Año Nuevo que aplicaría según gastos de cancelación. </w:t>
      </w: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54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3599"/>
        <w:gridCol w:w="622"/>
      </w:tblGrid>
      <w:tr w:rsidR="0010130B" w:rsidRPr="0010130B" w:rsidTr="0010130B">
        <w:trPr>
          <w:trHeight w:val="268"/>
          <w:jc w:val="center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CALGARY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ARTS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LE GERMAIN HOTEL*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lang w:val="es-MX" w:eastAsia="es-MX" w:bidi="ar-SA"/>
              </w:rPr>
              <w:t>B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FAIRMONT PALLISER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BANFF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MOUNT ROYAL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CARIBOU LODGE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000000"/>
                <w:lang w:val="es-MX" w:eastAsia="es-MX" w:bidi="ar-SA"/>
              </w:rPr>
              <w:t>FAIRMONT BANFF SPRINGS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FFFFFF"/>
                <w:lang w:val="es-MX" w:eastAsia="es-MX" w:bidi="ar-SA"/>
              </w:rPr>
              <w:t>*LE GERMAIN HOTEL INCLUYE DESAYUNO</w:t>
            </w:r>
          </w:p>
        </w:tc>
      </w:tr>
      <w:tr w:rsidR="0010130B" w:rsidRPr="0010130B" w:rsidTr="0010130B">
        <w:trPr>
          <w:trHeight w:val="268"/>
          <w:jc w:val="center"/>
        </w:trPr>
        <w:tc>
          <w:tcPr>
            <w:tcW w:w="5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10130B" w:rsidRPr="0010130B" w:rsidRDefault="0010130B" w:rsidP="0010130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0130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10130B" w:rsidRPr="00364A37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97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754"/>
        <w:gridCol w:w="754"/>
        <w:gridCol w:w="754"/>
        <w:gridCol w:w="754"/>
        <w:gridCol w:w="1594"/>
      </w:tblGrid>
      <w:tr w:rsidR="00EB7F01" w:rsidRPr="00EB7F01" w:rsidTr="00EB7F01">
        <w:trPr>
          <w:trHeight w:val="191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NOV - 15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1970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16 - 31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2860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ENE - 26 ABR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2030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BOUTIQUE Y PRIMERA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(-12)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NOV - 15 DIC / 04 ENE - 02 FEB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1370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2390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16 DIC - 03 ENE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4090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03 FEB - 26 ABR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1130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2900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NOV - 15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3290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20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16 DIC - 03 ENE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2470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4580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04 ENE - 26 ABR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2140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3940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97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NOV - 15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2380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2100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3190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16 - 31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2830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2490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4080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lang w:val="es-MX" w:eastAsia="es-MX" w:bidi="ar-SA"/>
              </w:rPr>
              <w:t>01 ENE - 26 ABR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2420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3250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BOUTIQUE Y PRIMERA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(-12)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01 NOV - 15 DIC / 04 ENE - 02 FEB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3610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16 DIC - 03 ENE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2910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5310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03 FEB - 26 ABR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2350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4120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01 NOV - 15 DIC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3040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4510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16 DIC - 03 ENE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3690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3120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5800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  <w:tr w:rsidR="00EB7F01" w:rsidRPr="00EB7F01" w:rsidTr="00EB7F01">
        <w:trPr>
          <w:trHeight w:val="191"/>
          <w:jc w:val="center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lang w:val="es-MX" w:eastAsia="es-MX" w:bidi="ar-SA"/>
              </w:rPr>
              <w:t>04 ENE - 26 ABR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3360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2900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5160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1700</w:t>
            </w:r>
          </w:p>
        </w:tc>
      </w:tr>
    </w:tbl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10130B" w:rsidRPr="00364A37" w:rsidRDefault="0010130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364A37" w:rsidRPr="00364A37" w:rsidRDefault="00364A3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364A37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6"/>
      </w:tblGrid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400 USD POR PASAJERO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EB7F01" w:rsidRPr="00EB7F01" w:rsidTr="00EB7F01">
        <w:trPr>
          <w:trHeight w:val="245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12, 14 O 18 AÑOS, DEPENDIENDO EL HOTEL</w:t>
            </w:r>
          </w:p>
        </w:tc>
      </w:tr>
      <w:tr w:rsidR="00EB7F01" w:rsidRPr="00EB7F01" w:rsidTr="00EB7F01">
        <w:trPr>
          <w:trHeight w:val="257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2024 AL 30 DE ABRIL 2025</w:t>
            </w:r>
          </w:p>
        </w:tc>
      </w:tr>
      <w:tr w:rsidR="00EB7F01" w:rsidRPr="00EB7F01" w:rsidTr="00EB7F01">
        <w:trPr>
          <w:trHeight w:val="257"/>
          <w:jc w:val="center"/>
        </w:trPr>
        <w:tc>
          <w:tcPr>
            <w:tcW w:w="973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EB7F01" w:rsidRPr="00EB7F01" w:rsidRDefault="00EB7F01" w:rsidP="00EB7F0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EB7F0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27F1" w:rsidRDefault="00EF27F1" w:rsidP="00450C15">
      <w:pPr>
        <w:spacing w:after="0" w:line="240" w:lineRule="auto"/>
      </w:pPr>
      <w:r>
        <w:separator/>
      </w:r>
    </w:p>
  </w:endnote>
  <w:endnote w:type="continuationSeparator" w:id="0">
    <w:p w:rsidR="00EF27F1" w:rsidRDefault="00EF27F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46777F" wp14:editId="556302C0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ADAD3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27F1" w:rsidRDefault="00EF27F1" w:rsidP="00450C15">
      <w:pPr>
        <w:spacing w:after="0" w:line="240" w:lineRule="auto"/>
      </w:pPr>
      <w:r>
        <w:separator/>
      </w:r>
    </w:p>
  </w:footnote>
  <w:footnote w:type="continuationSeparator" w:id="0">
    <w:p w:rsidR="00EF27F1" w:rsidRDefault="00EF27F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EE16B" wp14:editId="727F489A">
              <wp:simplePos x="0" y="0"/>
              <wp:positionH relativeFrom="column">
                <wp:posOffset>-653416</wp:posOffset>
              </wp:positionH>
              <wp:positionV relativeFrom="paragraph">
                <wp:posOffset>-364490</wp:posOffset>
              </wp:positionV>
              <wp:extent cx="4543425" cy="7048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34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A947C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INVIERNO EN CALGARY Y BANFF</w:t>
                          </w:r>
                        </w:p>
                        <w:p w:rsidR="00BF10D2" w:rsidRPr="007E6927" w:rsidRDefault="00A947C6" w:rsidP="00364A3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1582-C202</w:t>
                          </w:r>
                          <w:r w:rsidR="00EB7F0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EB7F0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EE16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357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" filled="f" stroked="f">
              <v:textbox>
                <w:txbxContent>
                  <w:p w:rsidR="007A77DC" w:rsidRPr="00B94312" w:rsidRDefault="00A947C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INVIERNO EN CALGARY Y BANFF</w:t>
                    </w:r>
                  </w:p>
                  <w:p w:rsidR="00BF10D2" w:rsidRPr="007E6927" w:rsidRDefault="00A947C6" w:rsidP="00364A3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1582-C202</w:t>
                    </w:r>
                    <w:r w:rsidR="00EB7F0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EB7F0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F1886E0" wp14:editId="3AFB03E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AD2C961" wp14:editId="13847B1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73B816" wp14:editId="5E6A18C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23486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B2186"/>
    <w:multiLevelType w:val="hybridMultilevel"/>
    <w:tmpl w:val="AACAB99E"/>
    <w:lvl w:ilvl="0" w:tplc="4CB8921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1773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130B"/>
    <w:rsid w:val="001056F5"/>
    <w:rsid w:val="00106CE3"/>
    <w:rsid w:val="00111BF3"/>
    <w:rsid w:val="0011354A"/>
    <w:rsid w:val="00113B0C"/>
    <w:rsid w:val="00113C32"/>
    <w:rsid w:val="00115DF1"/>
    <w:rsid w:val="00124C0C"/>
    <w:rsid w:val="00134809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458DA"/>
    <w:rsid w:val="00353340"/>
    <w:rsid w:val="00354501"/>
    <w:rsid w:val="0035732A"/>
    <w:rsid w:val="003647F3"/>
    <w:rsid w:val="00364A37"/>
    <w:rsid w:val="003726A3"/>
    <w:rsid w:val="003805A5"/>
    <w:rsid w:val="00394B88"/>
    <w:rsid w:val="003A7834"/>
    <w:rsid w:val="003B37AE"/>
    <w:rsid w:val="003B69D8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49C0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06D6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3C55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47C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2251"/>
    <w:rsid w:val="00C542F0"/>
    <w:rsid w:val="00C55C28"/>
    <w:rsid w:val="00C60443"/>
    <w:rsid w:val="00C632D6"/>
    <w:rsid w:val="00C70110"/>
    <w:rsid w:val="00C7799D"/>
    <w:rsid w:val="00C834CC"/>
    <w:rsid w:val="00CA4683"/>
    <w:rsid w:val="00CC16AE"/>
    <w:rsid w:val="00CC18B7"/>
    <w:rsid w:val="00CC5687"/>
    <w:rsid w:val="00CE1CC7"/>
    <w:rsid w:val="00CE7934"/>
    <w:rsid w:val="00CF6EEC"/>
    <w:rsid w:val="00D013E2"/>
    <w:rsid w:val="00D12C59"/>
    <w:rsid w:val="00D21426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3D92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75388"/>
    <w:rsid w:val="00E846AA"/>
    <w:rsid w:val="00E90FAD"/>
    <w:rsid w:val="00E948BD"/>
    <w:rsid w:val="00EA0490"/>
    <w:rsid w:val="00EA17D1"/>
    <w:rsid w:val="00EB5340"/>
    <w:rsid w:val="00EB7F01"/>
    <w:rsid w:val="00EC6694"/>
    <w:rsid w:val="00EC7F50"/>
    <w:rsid w:val="00ED2EE5"/>
    <w:rsid w:val="00EE2DE7"/>
    <w:rsid w:val="00EE3ECA"/>
    <w:rsid w:val="00EF27F1"/>
    <w:rsid w:val="00EF313D"/>
    <w:rsid w:val="00F00F60"/>
    <w:rsid w:val="00F11662"/>
    <w:rsid w:val="00F11C4C"/>
    <w:rsid w:val="00F1599F"/>
    <w:rsid w:val="00F523B5"/>
    <w:rsid w:val="00F61470"/>
    <w:rsid w:val="00F74B6B"/>
    <w:rsid w:val="00F83280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469A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2024-04-17T19:13:00Z</dcterms:created>
  <dcterms:modified xsi:type="dcterms:W3CDTF">2024-04-17T19:13:00Z</dcterms:modified>
</cp:coreProperties>
</file>