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2DAB" w14:textId="335015FA" w:rsidR="00B556FA" w:rsidRDefault="00B814D1" w:rsidP="00F90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8514E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FRANKFURT, HEIDELBERG, FRIBURGO, LINDAU, KEMPTEN, NEUSCHWANSTEIN, OBERAMMERGAU, LINDERHOF, ABADÍA DE ETTAL, MÚNICH, ZÚRICH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8514E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BERNESE OBERLAND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8514E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INTERLAKEN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8514E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JUNGFRAUJOCH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8514E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ZÚRICH</w:t>
      </w:r>
    </w:p>
    <w:p w14:paraId="3A77542E" w14:textId="77777777" w:rsidR="00F90986" w:rsidRDefault="00F90986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446D48C5" w:rsidR="007F7B70" w:rsidRPr="00B556FA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C1F0F">
        <w:rPr>
          <w:rFonts w:asciiTheme="minorHAnsi" w:eastAsia="Arial" w:hAnsiTheme="minorHAnsi" w:cstheme="minorHAnsi"/>
          <w:b/>
          <w:color w:val="002060"/>
          <w:sz w:val="24"/>
          <w:szCs w:val="24"/>
        </w:rPr>
        <w:t>11</w:t>
      </w:r>
      <w:r w:rsidR="00A109A1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3C5C994D" w:rsidR="00CB0CC0" w:rsidRDefault="00B556FA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Llegadas: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C1F0F" w:rsidRPr="00CC1F0F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 específicas de mayo a oct 2026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20533E1D" w14:textId="4056D452" w:rsidR="00293FFC" w:rsidRDefault="00293FFC" w:rsidP="00CC1F0F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293F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Destacados:</w:t>
      </w:r>
      <w:r w:rsidRPr="00293F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CC1F0F" w:rsidRPr="00CC1F0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Cono</w:t>
      </w:r>
      <w:r w:rsidR="00CC1F0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ce</w:t>
      </w:r>
      <w:r w:rsidR="00CC1F0F" w:rsidRPr="00CC1F0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el famoso castillo de </w:t>
      </w:r>
      <w:proofErr w:type="spellStart"/>
      <w:r w:rsidR="00CC1F0F" w:rsidRPr="00CC1F0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Neuschwanstein</w:t>
      </w:r>
      <w:proofErr w:type="spellEnd"/>
      <w:r w:rsidR="00CC1F0F" w:rsidRPr="00CC1F0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conocido como el Castillo de la Cenicienta</w:t>
      </w:r>
      <w:r w:rsidR="00CC1F0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visita </w:t>
      </w:r>
      <w:r w:rsidR="00CC1F0F" w:rsidRPr="00CC1F0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Zúrich</w:t>
      </w:r>
      <w:r w:rsidR="00CC1F0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</w:t>
      </w:r>
      <w:r w:rsidR="00CC1F0F" w:rsidRPr="00CC1F0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la ciudad con mejor calidad de vida</w:t>
      </w:r>
      <w:r w:rsidR="00CC1F0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</w:t>
      </w:r>
      <w:proofErr w:type="spellStart"/>
      <w:r w:rsidR="00CC1F0F" w:rsidRPr="00CC1F0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Jungfraujoch</w:t>
      </w:r>
      <w:proofErr w:type="spellEnd"/>
      <w:r w:rsidR="00CC1F0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la </w:t>
      </w:r>
      <w:r w:rsidR="00CC1F0F" w:rsidRPr="00CC1F0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estación de trenes más alta de Europa encima de un glaciar</w:t>
      </w:r>
      <w:r w:rsidR="00CC1F0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779F4EE0" w14:textId="77777777" w:rsidR="00CC1F0F" w:rsidRPr="00CC1F0F" w:rsidRDefault="00CC1F0F" w:rsidP="00CC1F0F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1D8BDDF8" w14:textId="19B6A632" w:rsidR="00CC1F0F" w:rsidRPr="008514E0" w:rsidRDefault="008514E0" w:rsidP="00CC1F0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8514E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8514E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FRANKFURT </w:t>
      </w:r>
    </w:p>
    <w:p w14:paraId="751EAC4A" w14:textId="414FE1CF" w:rsidR="00CC1F0F" w:rsidRPr="00CC1F0F" w:rsidRDefault="00CC1F0F" w:rsidP="00CC1F0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C1F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al aeropuerto de Frankfurt y traslado al hotel. Resto del día libre a su disposición. Frankfurt</w:t>
      </w:r>
      <w:r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centro financiero y comercial de Alemania, está marcada por sus fascinantes contrastes entre lo moderno y lo histórico. </w:t>
      </w:r>
      <w:r w:rsidRPr="00CC1F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4C48693" w14:textId="77777777" w:rsidR="00CC1F0F" w:rsidRPr="008514E0" w:rsidRDefault="00CC1F0F" w:rsidP="00CC1F0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</w:p>
    <w:p w14:paraId="1B718E61" w14:textId="43A680FE" w:rsidR="00CC1F0F" w:rsidRPr="008514E0" w:rsidRDefault="008514E0" w:rsidP="00CC1F0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8514E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8514E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FRANKFURT - HEIDELBERG - FRIBURGO </w:t>
      </w:r>
    </w:p>
    <w:p w14:paraId="726B7A42" w14:textId="481C4DDB" w:rsidR="00CC1F0F" w:rsidRPr="00CC1F0F" w:rsidRDefault="00CC1F0F" w:rsidP="00CC1F0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C1F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mañana traslado a la ciudad de Heidelberg para visitar su famoso castillo. Luego paseo por el centro antiguo. Heidelberg, la ciudad universitaria más antigua de Alemania, es uno de los lugares más visitados debido a su idílica ubicación a las orillas del río Neckar. El viaje continúa por la ruta alta de la Selva Negra, disfrute de los paisajes impresionantes. Llegada a Friburgo y breve visita de la ciudad. </w:t>
      </w:r>
      <w:r w:rsidRPr="00CC1F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03E3369" w14:textId="77777777" w:rsidR="00CC1F0F" w:rsidRPr="008514E0" w:rsidRDefault="00CC1F0F" w:rsidP="00CC1F0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</w:p>
    <w:p w14:paraId="1749C941" w14:textId="24C135B9" w:rsidR="00A316B4" w:rsidRPr="008514E0" w:rsidRDefault="008514E0" w:rsidP="00CC1F0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8514E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8514E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FRIBURGO - LINDAU - KEMPTEN </w:t>
      </w:r>
    </w:p>
    <w:p w14:paraId="0D46F952" w14:textId="0DFD4159" w:rsidR="00CC1F0F" w:rsidRPr="00CC1F0F" w:rsidRDefault="00A316B4" w:rsidP="00CC1F0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C1F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la mañana visitará una pequeña y tradicional granja donde podrá degustar quesos y donde puede echar un vistazo a la vida real en la Selva Negra. El </w:t>
      </w:r>
      <w:proofErr w:type="gramStart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viaje continua</w:t>
      </w:r>
      <w:proofErr w:type="gramEnd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 pequeña isla de Lindau, ubicada en el Lago Constanza, que ofrece espectaculares vistas de los Alpes. Después viaje a </w:t>
      </w:r>
      <w:proofErr w:type="spellStart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Kempten</w:t>
      </w:r>
      <w:proofErr w:type="spellEnd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CC1F0F"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6D77EC6" w14:textId="77777777" w:rsidR="00CC1F0F" w:rsidRPr="008514E0" w:rsidRDefault="00CC1F0F" w:rsidP="00CC1F0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</w:p>
    <w:p w14:paraId="43C690A4" w14:textId="7FB0F5B7" w:rsidR="00A316B4" w:rsidRPr="008514E0" w:rsidRDefault="008514E0" w:rsidP="00CC1F0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8514E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8514E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NEUSCHWANSTEIN - OBERAMMERGAU - LINDERHOF - ABADÍA DE ETTAL - MÚNICH </w:t>
      </w:r>
    </w:p>
    <w:p w14:paraId="442776C7" w14:textId="3E380CAC" w:rsidR="00CC1F0F" w:rsidRPr="00CC1F0F" w:rsidRDefault="00A316B4" w:rsidP="00CC1F0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C1F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día empieza con una visita al Castillo de </w:t>
      </w:r>
      <w:proofErr w:type="spellStart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Neuschwanstein</w:t>
      </w:r>
      <w:proofErr w:type="spellEnd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construido por Luis II, el famoso “Rey </w:t>
      </w:r>
      <w:proofErr w:type="gramStart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Loco“</w:t>
      </w:r>
      <w:proofErr w:type="gramEnd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 mediodía viaje a </w:t>
      </w:r>
      <w:proofErr w:type="spellStart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Oberammergau</w:t>
      </w:r>
      <w:proofErr w:type="spellEnd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pueblo famoso por su representación de la Pasión y por su artesanía. En la tarde visita del Palacio </w:t>
      </w:r>
      <w:proofErr w:type="spellStart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Linderhof</w:t>
      </w:r>
      <w:proofErr w:type="spellEnd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Éste es uno de los 3 castillos construidos por el rey Luís II de Baviera y el único en donde vivió por más tiempo. Después breve parada en la abadía benedictina de </w:t>
      </w:r>
      <w:proofErr w:type="spellStart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Ettal</w:t>
      </w:r>
      <w:proofErr w:type="spellEnd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Continuación del viaje a la ciudad de Múnich. </w:t>
      </w:r>
      <w:r w:rsidR="00CC1F0F"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9048C15" w14:textId="77777777" w:rsidR="00CC1F0F" w:rsidRPr="008514E0" w:rsidRDefault="00CC1F0F" w:rsidP="00CC1F0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p w14:paraId="12563468" w14:textId="612C57B8" w:rsidR="00A316B4" w:rsidRPr="008514E0" w:rsidRDefault="008514E0" w:rsidP="00CC1F0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8514E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8514E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MÚNICH </w:t>
      </w:r>
    </w:p>
    <w:p w14:paraId="7E7EC8A8" w14:textId="10229E76" w:rsidR="00CC1F0F" w:rsidRPr="00CC1F0F" w:rsidRDefault="00CC1F0F" w:rsidP="00CC1F0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</w:t>
      </w:r>
      <w:r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de los mayores atractivos de la ciudad finalizando en la plaza principal “</w:t>
      </w:r>
      <w:proofErr w:type="spellStart"/>
      <w:r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Marienplatz</w:t>
      </w:r>
      <w:proofErr w:type="spellEnd"/>
      <w:r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” para admirar el famoso carillón del ayuntamiento. Múnich, capital del estado de Baviera, es famosa por su Fiesta de la Cerveza </w:t>
      </w:r>
      <w:r w:rsidRPr="00B814D1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“</w:t>
      </w:r>
      <w:proofErr w:type="gramStart"/>
      <w:r w:rsidRPr="00B814D1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Oktoberfest“</w:t>
      </w:r>
      <w:r w:rsidRPr="00B814D1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que</w:t>
      </w:r>
      <w:proofErr w:type="gramEnd"/>
      <w:r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se celebra en el mes de septiembre. </w:t>
      </w:r>
      <w:r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En la noche podrá disfrutar de una </w:t>
      </w:r>
      <w:r w:rsidRPr="00B814D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típica bávara.</w:t>
      </w:r>
      <w:r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A316B4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0E4DCBA" w14:textId="77777777" w:rsidR="00CC1F0F" w:rsidRPr="008514E0" w:rsidRDefault="00CC1F0F" w:rsidP="00CC1F0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</w:p>
    <w:p w14:paraId="155B146F" w14:textId="3EF030F0" w:rsidR="00A316B4" w:rsidRPr="008514E0" w:rsidRDefault="008514E0" w:rsidP="00CC1F0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8514E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8514E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MÚNICH </w:t>
      </w:r>
    </w:p>
    <w:p w14:paraId="46F4A39C" w14:textId="34A1A26F" w:rsidR="00CC1F0F" w:rsidRPr="00CC1F0F" w:rsidRDefault="00A316B4" w:rsidP="00CC1F0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C1F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CC1F0F" w:rsidRPr="00A316B4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A partir de aquí el </w:t>
      </w:r>
      <w:proofErr w:type="gramStart"/>
      <w:r w:rsidR="00CC1F0F" w:rsidRPr="00A316B4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viaje continua</w:t>
      </w:r>
      <w:proofErr w:type="gramEnd"/>
      <w:r w:rsidR="00CC1F0F" w:rsidRPr="00A316B4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sin guía acompañante. </w:t>
      </w:r>
      <w:r w:rsidR="00CC1F0F"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 libre (sin guía) en Múnich.</w:t>
      </w:r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C1F0F" w:rsidRPr="00A316B4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Opcional</w:t>
      </w:r>
      <w:r w:rsidRPr="00A316B4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 en destino: </w:t>
      </w:r>
      <w:r w:rsidR="00CC1F0F" w:rsidRPr="00A316B4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Tour regular a Berchtesgaden (10 horas) o a Innsbruck (10,5 horas) con guía en inglés.</w:t>
      </w:r>
      <w:r w:rsidR="00CC1F0F"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5A6E186" w14:textId="77777777" w:rsidR="008514E0" w:rsidRPr="008514E0" w:rsidRDefault="008514E0" w:rsidP="00CC1F0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</w:p>
    <w:p w14:paraId="15C06914" w14:textId="3190FDBC" w:rsidR="00A316B4" w:rsidRPr="008514E0" w:rsidRDefault="008514E0" w:rsidP="00CC1F0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8514E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8514E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MÚNICH - ZÚRICH </w:t>
      </w:r>
    </w:p>
    <w:p w14:paraId="49C603F0" w14:textId="70126F28" w:rsidR="00CC1F0F" w:rsidRPr="00CC1F0F" w:rsidRDefault="00CC1F0F" w:rsidP="00CC1F0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 mediodía traslado a la estación de tren. </w:t>
      </w:r>
      <w:r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Viaje en Tren o en bus de Múnich a Zúrich (sin guía)</w:t>
      </w:r>
      <w:r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Al llegar a Zúrich traslado al </w:t>
      </w:r>
      <w:r w:rsidR="00A316B4">
        <w:rPr>
          <w:rFonts w:asciiTheme="minorHAnsi" w:eastAsia="Arial" w:hAnsiTheme="minorHAnsi" w:cstheme="minorHAnsi"/>
          <w:color w:val="002060"/>
          <w:sz w:val="20"/>
          <w:szCs w:val="20"/>
        </w:rPr>
        <w:t>h</w:t>
      </w:r>
      <w:r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otel</w:t>
      </w:r>
      <w:r w:rsidR="00A316B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A316B4"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2CF05953" w14:textId="18E6BC96" w:rsidR="00A316B4" w:rsidRPr="008514E0" w:rsidRDefault="008514E0" w:rsidP="00CC1F0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8514E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8| </w:t>
      </w:r>
      <w:r w:rsidRPr="008514E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ZÚRICH </w:t>
      </w:r>
    </w:p>
    <w:p w14:paraId="17286791" w14:textId="44141E02" w:rsidR="00CC1F0F" w:rsidRPr="00CC1F0F" w:rsidRDefault="00A316B4" w:rsidP="00CC1F0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C1F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tarde traslado al </w:t>
      </w:r>
      <w:proofErr w:type="spellStart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Sihlquai</w:t>
      </w:r>
      <w:proofErr w:type="spellEnd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conocer Zúrich durante un </w:t>
      </w:r>
      <w:proofErr w:type="spellStart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city</w:t>
      </w:r>
      <w:proofErr w:type="spellEnd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tour regular. Conozca el pasado y el presente de Zúrich a través de edificios, historias y anécdotas. </w:t>
      </w:r>
      <w:r w:rsidR="00CC1F0F"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Viaje en Tren de cremallera (</w:t>
      </w:r>
      <w:proofErr w:type="spellStart"/>
      <w:r w:rsidR="00CC1F0F"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Dolderbahn</w:t>
      </w:r>
      <w:proofErr w:type="spellEnd"/>
      <w:r w:rsidR="00CC1F0F"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) hacia la zona residencial del „</w:t>
      </w:r>
      <w:proofErr w:type="spellStart"/>
      <w:proofErr w:type="gramStart"/>
      <w:r w:rsidR="00CC1F0F"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Zúrichberg</w:t>
      </w:r>
      <w:proofErr w:type="spellEnd"/>
      <w:r w:rsidR="00CC1F0F"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“</w:t>
      </w:r>
      <w:proofErr w:type="gramEnd"/>
      <w:r w:rsidR="00CC1F0F"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, con sus villas y parques.</w:t>
      </w:r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Regreso al hotel por su cuenta. </w:t>
      </w:r>
      <w:r w:rsidR="00CC1F0F"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419ED76" w14:textId="77777777" w:rsidR="00CC1F0F" w:rsidRPr="008514E0" w:rsidRDefault="00CC1F0F" w:rsidP="00CC1F0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</w:p>
    <w:p w14:paraId="12902793" w14:textId="473651F2" w:rsidR="00A316B4" w:rsidRPr="008514E0" w:rsidRDefault="008514E0" w:rsidP="00CC1F0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8514E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9| </w:t>
      </w:r>
      <w:r w:rsidRPr="008514E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ZÚRICH - BERNESE OBERLAND - INTERLAKEN </w:t>
      </w:r>
    </w:p>
    <w:p w14:paraId="71B77BCA" w14:textId="2BF68A85" w:rsidR="00CC1F0F" w:rsidRPr="00CC1F0F" w:rsidRDefault="00A316B4" w:rsidP="00CC1F0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C1F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al </w:t>
      </w:r>
      <w:proofErr w:type="spellStart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Sihlquai</w:t>
      </w:r>
      <w:proofErr w:type="spellEnd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punto de encuentro para la excursión a </w:t>
      </w:r>
      <w:proofErr w:type="spellStart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Interlaken</w:t>
      </w:r>
      <w:proofErr w:type="spellEnd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idealmente ubicada entre dos lagos (Lago Thun y Lago </w:t>
      </w:r>
      <w:proofErr w:type="spellStart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Brienz</w:t>
      </w:r>
      <w:proofErr w:type="spellEnd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), conocido como el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“</w:t>
      </w:r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Paraíso de las compras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”, </w:t>
      </w:r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 una oferta muy variada, desde productos regionales hasta joyería fina y relojes. </w:t>
      </w:r>
      <w:r w:rsidR="00CC1F0F"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714EFDE" w14:textId="77777777" w:rsidR="00CC1F0F" w:rsidRPr="008514E0" w:rsidRDefault="00CC1F0F" w:rsidP="00CC1F0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</w:p>
    <w:p w14:paraId="4ED2B839" w14:textId="1CC0EF28" w:rsidR="00A316B4" w:rsidRPr="008514E0" w:rsidRDefault="008514E0" w:rsidP="00CC1F0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8514E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10| </w:t>
      </w:r>
      <w:r w:rsidRPr="008514E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INTERLAKEN - JUNGFRAUJOCH - ZÚRICH </w:t>
      </w:r>
    </w:p>
    <w:p w14:paraId="6942D84F" w14:textId="02123FDC" w:rsidR="00CC1F0F" w:rsidRPr="00CC1F0F" w:rsidRDefault="00A316B4" w:rsidP="00CC1F0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C1F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CC1F0F"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Excursión guiada al </w:t>
      </w:r>
      <w:proofErr w:type="spellStart"/>
      <w:r w:rsidR="00CC1F0F"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Jungfraujoch</w:t>
      </w:r>
      <w:proofErr w:type="spellEnd"/>
      <w:r w:rsidR="00CC1F0F"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- TOP OF EUROPE</w:t>
      </w:r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Las asombrosas vistas de la región montañosa de la </w:t>
      </w:r>
      <w:proofErr w:type="spellStart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Jungfrau</w:t>
      </w:r>
      <w:proofErr w:type="spellEnd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lo acompañarán durante todo el camino hacia la cima y la imponente cara norte del Eiger pareciera estar al alcance de su mano. Una vez en la cima del </w:t>
      </w:r>
      <w:proofErr w:type="spellStart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Jungfraujoch</w:t>
      </w:r>
      <w:proofErr w:type="spellEnd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sumérjase en el fascinante mundo alpino de hielo, nieve y roca. Después de esta inolvidable experiencia invernal, descendemos pasando por el destino vacacional de </w:t>
      </w:r>
      <w:proofErr w:type="spellStart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Wengen</w:t>
      </w:r>
      <w:proofErr w:type="spellEnd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</w:t>
      </w:r>
      <w:proofErr w:type="spellStart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>Lauterbrunnen</w:t>
      </w:r>
      <w:proofErr w:type="spellEnd"/>
      <w:r w:rsidR="00CC1F0F" w:rsidRPr="00CC1F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donde lo espera el autobús para llevarlo de vuelta a Zúrich. Regreso al hotel por su cuenta. </w:t>
      </w:r>
      <w:r w:rsidR="00CC1F0F"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4714589" w14:textId="77777777" w:rsidR="00CC1F0F" w:rsidRPr="008514E0" w:rsidRDefault="00CC1F0F" w:rsidP="00CC1F0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</w:p>
    <w:p w14:paraId="5B44F83A" w14:textId="1ACD7B2F" w:rsidR="00A316B4" w:rsidRPr="008514E0" w:rsidRDefault="008514E0" w:rsidP="00CC1F0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8514E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11| </w:t>
      </w:r>
      <w:r w:rsidRPr="008514E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ZÚRICH </w:t>
      </w:r>
    </w:p>
    <w:p w14:paraId="53CE9DBE" w14:textId="3970DDF8" w:rsidR="00CC1F0F" w:rsidRPr="00A316B4" w:rsidRDefault="00A316B4" w:rsidP="00CC1F0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CC1F0F"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del hotel al aeropuerto.</w:t>
      </w:r>
      <w:r w:rsidRPr="00A316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141A8EFF" w14:textId="77777777" w:rsidR="00CC1F0F" w:rsidRDefault="00CC1F0F" w:rsidP="00CC1F0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</w:p>
    <w:p w14:paraId="13316E2B" w14:textId="6D405B55" w:rsidR="00975738" w:rsidRDefault="00A455A6" w:rsidP="00B556F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610F6D5A" w14:textId="77777777" w:rsidR="005305E1" w:rsidRDefault="005305E1" w:rsidP="005305E1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C3E4386" w14:textId="2DD2FD33" w:rsidR="006C5AD4" w:rsidRPr="006C5AD4" w:rsidRDefault="006C5AD4" w:rsidP="005305E1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6C5A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Alemania:</w:t>
      </w:r>
    </w:p>
    <w:p w14:paraId="31361722" w14:textId="142DF361" w:rsidR="006C5AD4" w:rsidRPr="006C5AD4" w:rsidRDefault="006C5AD4" w:rsidP="006C5AD4">
      <w:pPr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Traslado de llegada aeropuerto de Frankfurt - hotel (únicamente el día 1 del tour)</w:t>
      </w:r>
    </w:p>
    <w:p w14:paraId="03223E22" w14:textId="0C4514CC" w:rsidR="006C5AD4" w:rsidRPr="006C5AD4" w:rsidRDefault="006C5AD4" w:rsidP="006C5AD4">
      <w:pPr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Transporte en coche, minivan o bus durante los días 2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-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5</w:t>
      </w:r>
    </w:p>
    <w:p w14:paraId="53B65C77" w14:textId="4DBBE8D1" w:rsidR="006C5AD4" w:rsidRPr="006C5AD4" w:rsidRDefault="006C5AD4" w:rsidP="006C5AD4">
      <w:pPr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bilingüe de habla hispana-portuguesa durante los días 2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– </w:t>
      </w: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5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recorrido por Alemania (chofer-guía para grupo menores a 8 personas)</w:t>
      </w:r>
    </w:p>
    <w:p w14:paraId="16063154" w14:textId="3398576A" w:rsidR="006C5AD4" w:rsidRPr="006C5AD4" w:rsidRDefault="006C5AD4" w:rsidP="006C5AD4">
      <w:pPr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Alojamiento en hab. doble en los hoteles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indicados o similares.</w:t>
      </w:r>
    </w:p>
    <w:p w14:paraId="069F23CF" w14:textId="77777777" w:rsidR="006C5AD4" w:rsidRPr="006C5AD4" w:rsidRDefault="006C5AD4" w:rsidP="006C5AD4">
      <w:pPr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Desayuno en todos los hoteles</w:t>
      </w:r>
    </w:p>
    <w:p w14:paraId="222D69D5" w14:textId="77777777" w:rsidR="006C5AD4" w:rsidRPr="006C5AD4" w:rsidRDefault="006C5AD4" w:rsidP="006C5AD4">
      <w:pPr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Entradas a los Castillos de Heidelberg, </w:t>
      </w:r>
      <w:proofErr w:type="spellStart"/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Neuschwanstein</w:t>
      </w:r>
      <w:proofErr w:type="spellEnd"/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Linderhof</w:t>
      </w:r>
      <w:proofErr w:type="spellEnd"/>
    </w:p>
    <w:p w14:paraId="4341DB9B" w14:textId="77777777" w:rsidR="006C5AD4" w:rsidRPr="006C5AD4" w:rsidRDefault="006C5AD4" w:rsidP="006C5AD4">
      <w:pPr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Cena típica bávara en Múnich</w:t>
      </w:r>
    </w:p>
    <w:p w14:paraId="5092B13C" w14:textId="68EB1DCF" w:rsidR="006C5AD4" w:rsidRPr="006C5AD4" w:rsidRDefault="006C5AD4" w:rsidP="006C5AD4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6C5A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Suiza:</w:t>
      </w:r>
      <w:r w:rsidRPr="006C5AD4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*</w:t>
      </w:r>
    </w:p>
    <w:p w14:paraId="26A6222A" w14:textId="77777777" w:rsidR="006C5AD4" w:rsidRPr="006C5AD4" w:rsidRDefault="006C5AD4" w:rsidP="006C5AD4">
      <w:pPr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Traslado desde hotel en Múnich a la estación de trenes en Múnich</w:t>
      </w:r>
    </w:p>
    <w:p w14:paraId="4E797727" w14:textId="77777777" w:rsidR="006C5AD4" w:rsidRPr="006C5AD4" w:rsidRDefault="006C5AD4" w:rsidP="006C5AD4">
      <w:pPr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Viaje en Tren 2a clase o en bus de Múnich a Zúrich - incl. reserva de asientos</w:t>
      </w:r>
    </w:p>
    <w:p w14:paraId="24DD0177" w14:textId="77777777" w:rsidR="006C5AD4" w:rsidRPr="006C5AD4" w:rsidRDefault="006C5AD4" w:rsidP="006C5AD4">
      <w:pPr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Traslado desde la estación de trenes Zúrich hasta el hotel en Zúrich</w:t>
      </w:r>
    </w:p>
    <w:p w14:paraId="4D8DF418" w14:textId="77777777" w:rsidR="006C5AD4" w:rsidRPr="006C5AD4" w:rsidRDefault="006C5AD4" w:rsidP="006C5AD4">
      <w:pPr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Traslado desde del hotel de Zúrich hasta el punto de encuentro para tomar los tours regulares</w:t>
      </w:r>
    </w:p>
    <w:p w14:paraId="59DA0998" w14:textId="3DF09F38" w:rsidR="006C5AD4" w:rsidRPr="006C5AD4" w:rsidRDefault="006C5AD4" w:rsidP="006C5AD4">
      <w:pPr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City tour regular de 04 horas en Zúrich el día 8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(con auriculares en español)</w:t>
      </w:r>
    </w:p>
    <w:p w14:paraId="1CAEF3FF" w14:textId="77777777" w:rsidR="006C5AD4" w:rsidRPr="006C5AD4" w:rsidRDefault="006C5AD4" w:rsidP="006C5AD4">
      <w:pPr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Tour regular de 2 días, con guía parcial en inglés (con pernocta en </w:t>
      </w:r>
      <w:proofErr w:type="spellStart"/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Interlaken</w:t>
      </w:r>
      <w:proofErr w:type="spellEnd"/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&amp; ticket para subir a </w:t>
      </w:r>
      <w:proofErr w:type="spellStart"/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Jungfraujoch</w:t>
      </w:r>
      <w:proofErr w:type="spellEnd"/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- TOP OF EUROPE)</w:t>
      </w:r>
    </w:p>
    <w:p w14:paraId="7ED34710" w14:textId="77777777" w:rsidR="006C5AD4" w:rsidRPr="006C5AD4" w:rsidRDefault="006C5AD4" w:rsidP="006C5AD4">
      <w:pPr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Traslado de salida desde el hotel de Zúrich hasta el aeropuerto de Zúrich</w:t>
      </w:r>
    </w:p>
    <w:p w14:paraId="0A5A3151" w14:textId="77777777" w:rsidR="006C5AD4" w:rsidRPr="006C5AD4" w:rsidRDefault="006C5AD4" w:rsidP="006C5AD4">
      <w:pPr>
        <w:spacing w:after="0"/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5AD4">
        <w:rPr>
          <w:rFonts w:asciiTheme="minorHAnsi" w:eastAsia="Arial" w:hAnsiTheme="minorHAnsi" w:cstheme="minorHAnsi"/>
          <w:color w:val="EE0000"/>
          <w:sz w:val="20"/>
          <w:szCs w:val="20"/>
        </w:rPr>
        <w:t>*</w:t>
      </w:r>
      <w:r w:rsidRPr="006C5AD4">
        <w:rPr>
          <w:rFonts w:asciiTheme="minorHAnsi" w:eastAsia="Arial" w:hAnsiTheme="minorHAnsi" w:cstheme="minorHAnsi"/>
          <w:color w:val="002060"/>
          <w:sz w:val="20"/>
          <w:szCs w:val="20"/>
        </w:rPr>
        <w:t>a partir de aquí viaje sin guía acompañante</w:t>
      </w:r>
    </w:p>
    <w:p w14:paraId="1A2F6D21" w14:textId="77777777" w:rsidR="008514E0" w:rsidRDefault="008514E0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564C545" w14:textId="77777777" w:rsidR="008514E0" w:rsidRDefault="008514E0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408E7E2" w14:textId="77777777" w:rsidR="008514E0" w:rsidRDefault="008514E0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7DA98CD" w14:textId="77777777" w:rsidR="008514E0" w:rsidRDefault="008514E0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14B4D1A0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CA4551E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20D4130C" w14:textId="0BDC57A4" w:rsidR="007E0BBC" w:rsidRPr="008514E0" w:rsidRDefault="00BE42B8" w:rsidP="00AB2C5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493B2EB4" w14:textId="77777777" w:rsidR="00426965" w:rsidRDefault="0042696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2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9"/>
        <w:gridCol w:w="3180"/>
        <w:gridCol w:w="447"/>
      </w:tblGrid>
      <w:tr w:rsidR="006C5AD4" w:rsidRPr="006C5AD4" w14:paraId="6612DD2E" w14:textId="77777777" w:rsidTr="006C5AD4">
        <w:trPr>
          <w:trHeight w:val="353"/>
          <w:jc w:val="center"/>
        </w:trPr>
        <w:tc>
          <w:tcPr>
            <w:tcW w:w="6266" w:type="dxa"/>
            <w:gridSpan w:val="3"/>
            <w:tcBorders>
              <w:top w:val="single" w:sz="12" w:space="0" w:color="512351"/>
              <w:left w:val="single" w:sz="12" w:space="0" w:color="512351"/>
              <w:bottom w:val="nil"/>
              <w:right w:val="single" w:sz="12" w:space="0" w:color="512351"/>
            </w:tcBorders>
            <w:shd w:val="clear" w:color="000000" w:fill="512351"/>
            <w:vAlign w:val="center"/>
            <w:hideMark/>
          </w:tcPr>
          <w:p w14:paraId="06E3A3E3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6C5AD4" w:rsidRPr="006C5AD4" w14:paraId="5FA4F600" w14:textId="77777777" w:rsidTr="006C5AD4">
        <w:trPr>
          <w:trHeight w:val="238"/>
          <w:jc w:val="center"/>
        </w:trPr>
        <w:tc>
          <w:tcPr>
            <w:tcW w:w="263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7CBC23DF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58B90D02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D6DCE4"/>
            <w:noWrap/>
            <w:vAlign w:val="center"/>
            <w:hideMark/>
          </w:tcPr>
          <w:p w14:paraId="4E34EE40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6C5AD4" w:rsidRPr="006C5AD4" w14:paraId="4C56A3E8" w14:textId="77777777" w:rsidTr="006C5AD4">
        <w:trPr>
          <w:trHeight w:val="254"/>
          <w:jc w:val="center"/>
        </w:trPr>
        <w:tc>
          <w:tcPr>
            <w:tcW w:w="263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E354A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FRANKFURT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F492D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MÖVENPICK FRANKFURT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25370F67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C5AD4" w:rsidRPr="006C5AD4" w14:paraId="47F123A8" w14:textId="77777777" w:rsidTr="006C5AD4">
        <w:trPr>
          <w:trHeight w:val="221"/>
          <w:jc w:val="center"/>
        </w:trPr>
        <w:tc>
          <w:tcPr>
            <w:tcW w:w="263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ACBAE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FRIBURGO (SELVA NEGRA)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4A83B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NOVOTEL AM KONZERTHAUS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2976A6FE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C5AD4" w:rsidRPr="006C5AD4" w14:paraId="22711DA4" w14:textId="77777777" w:rsidTr="006C5AD4">
        <w:trPr>
          <w:trHeight w:val="221"/>
          <w:jc w:val="center"/>
        </w:trPr>
        <w:tc>
          <w:tcPr>
            <w:tcW w:w="263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1C584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KEMPTEN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3187E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BIGBOX HOTEL KEMPTEN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493F74D0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C5AD4" w:rsidRPr="006C5AD4" w14:paraId="3E1B77DB" w14:textId="77777777" w:rsidTr="006C5AD4">
        <w:trPr>
          <w:trHeight w:val="234"/>
          <w:jc w:val="center"/>
        </w:trPr>
        <w:tc>
          <w:tcPr>
            <w:tcW w:w="263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ADA64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MÚNICH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928E9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MÚNICH CITY CENTER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58D352C7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C5AD4" w:rsidRPr="006C5AD4" w14:paraId="7EFAC7F0" w14:textId="77777777" w:rsidTr="006C5AD4">
        <w:trPr>
          <w:trHeight w:val="246"/>
          <w:jc w:val="center"/>
        </w:trPr>
        <w:tc>
          <w:tcPr>
            <w:tcW w:w="263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1E50D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ZURICH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CEB0F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KRONE UNTERSTRASS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42E24EEE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C5AD4" w:rsidRPr="006C5AD4" w14:paraId="7770AEEA" w14:textId="77777777" w:rsidTr="006C5AD4">
        <w:trPr>
          <w:trHeight w:val="254"/>
          <w:jc w:val="center"/>
        </w:trPr>
        <w:tc>
          <w:tcPr>
            <w:tcW w:w="2639" w:type="dxa"/>
            <w:tcBorders>
              <w:top w:val="nil"/>
              <w:left w:val="single" w:sz="12" w:space="0" w:color="512351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75D54D54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INTERLAKEN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13047532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HOTEL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2D10C560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</w:tbl>
    <w:p w14:paraId="64AE29B5" w14:textId="77777777" w:rsidR="00426965" w:rsidRDefault="0042696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190A8A6" w14:textId="77777777" w:rsidR="00426965" w:rsidRDefault="0042696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0"/>
        <w:gridCol w:w="522"/>
        <w:gridCol w:w="528"/>
      </w:tblGrid>
      <w:tr w:rsidR="006C5AD4" w:rsidRPr="006C5AD4" w14:paraId="63ACE639" w14:textId="77777777" w:rsidTr="006C5AD4">
        <w:trPr>
          <w:trHeight w:val="457"/>
          <w:jc w:val="center"/>
        </w:trPr>
        <w:tc>
          <w:tcPr>
            <w:tcW w:w="6440" w:type="dxa"/>
            <w:gridSpan w:val="3"/>
            <w:tcBorders>
              <w:top w:val="single" w:sz="12" w:space="0" w:color="512351"/>
              <w:left w:val="single" w:sz="12" w:space="0" w:color="512351"/>
              <w:bottom w:val="single" w:sz="4" w:space="0" w:color="530D3F"/>
              <w:right w:val="single" w:sz="12" w:space="0" w:color="512351"/>
            </w:tcBorders>
            <w:shd w:val="clear" w:color="000000" w:fill="512351"/>
            <w:vAlign w:val="center"/>
            <w:hideMark/>
          </w:tcPr>
          <w:p w14:paraId="45B59F4B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6C5AD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TERRESTRES EXCLUSIVAMENTE</w:t>
            </w:r>
          </w:p>
        </w:tc>
      </w:tr>
      <w:tr w:rsidR="006C5AD4" w:rsidRPr="006C5AD4" w14:paraId="1BBC5E4F" w14:textId="77777777" w:rsidTr="006C5AD4">
        <w:trPr>
          <w:trHeight w:val="195"/>
          <w:jc w:val="center"/>
        </w:trPr>
        <w:tc>
          <w:tcPr>
            <w:tcW w:w="5390" w:type="dxa"/>
            <w:tcBorders>
              <w:top w:val="nil"/>
              <w:left w:val="single" w:sz="4" w:space="0" w:color="530D3F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7B08FAB6" w14:textId="77777777" w:rsidR="006C5AD4" w:rsidRPr="006C5AD4" w:rsidRDefault="006C5AD4" w:rsidP="006C5A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MÍNIMO 2 PAX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22870870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530D3F"/>
            </w:tcBorders>
            <w:shd w:val="clear" w:color="000000" w:fill="D6DCE4"/>
            <w:noWrap/>
            <w:vAlign w:val="center"/>
            <w:hideMark/>
          </w:tcPr>
          <w:p w14:paraId="315B6EF4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6C5AD4" w:rsidRPr="006C5AD4" w14:paraId="24982A6B" w14:textId="77777777" w:rsidTr="006C5AD4">
        <w:trPr>
          <w:trHeight w:val="195"/>
          <w:jc w:val="center"/>
        </w:trPr>
        <w:tc>
          <w:tcPr>
            <w:tcW w:w="5390" w:type="dxa"/>
            <w:tcBorders>
              <w:top w:val="nil"/>
              <w:left w:val="single" w:sz="4" w:space="0" w:color="530D3F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AC41C" w14:textId="77777777" w:rsidR="006C5AD4" w:rsidRPr="006C5AD4" w:rsidRDefault="006C5AD4" w:rsidP="006C5AD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ALEMANIA ROMÁNTICA Y SUIZA DE ENSUEÑO 2026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21D9F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4880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530D3F"/>
            </w:tcBorders>
            <w:shd w:val="clear" w:color="000000" w:fill="FFFFFF"/>
            <w:noWrap/>
            <w:vAlign w:val="center"/>
            <w:hideMark/>
          </w:tcPr>
          <w:p w14:paraId="75F7201F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5890</w:t>
            </w:r>
          </w:p>
        </w:tc>
      </w:tr>
      <w:tr w:rsidR="006C5AD4" w:rsidRPr="006C5AD4" w14:paraId="222F5F86" w14:textId="77777777" w:rsidTr="006C5AD4">
        <w:trPr>
          <w:trHeight w:val="212"/>
          <w:jc w:val="center"/>
        </w:trPr>
        <w:tc>
          <w:tcPr>
            <w:tcW w:w="6440" w:type="dxa"/>
            <w:gridSpan w:val="3"/>
            <w:tcBorders>
              <w:top w:val="single" w:sz="4" w:space="0" w:color="530D3F"/>
              <w:left w:val="single" w:sz="4" w:space="0" w:color="auto"/>
              <w:bottom w:val="nil"/>
              <w:right w:val="single" w:sz="4" w:space="0" w:color="530D3F"/>
            </w:tcBorders>
            <w:shd w:val="clear" w:color="000000" w:fill="FFFFFF"/>
            <w:noWrap/>
            <w:vAlign w:val="bottom"/>
            <w:hideMark/>
          </w:tcPr>
          <w:p w14:paraId="7CA006BC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6C5AD4" w:rsidRPr="006C5AD4" w14:paraId="04C691CB" w14:textId="77777777" w:rsidTr="006C5AD4">
        <w:trPr>
          <w:trHeight w:val="201"/>
          <w:jc w:val="center"/>
        </w:trPr>
        <w:tc>
          <w:tcPr>
            <w:tcW w:w="6440" w:type="dxa"/>
            <w:gridSpan w:val="3"/>
            <w:tcBorders>
              <w:top w:val="nil"/>
              <w:left w:val="single" w:sz="4" w:space="0" w:color="auto"/>
              <w:bottom w:val="single" w:sz="4" w:space="0" w:color="530D3F"/>
              <w:right w:val="single" w:sz="4" w:space="0" w:color="530D3F"/>
            </w:tcBorders>
            <w:shd w:val="clear" w:color="000000" w:fill="FFFFFF"/>
            <w:noWrap/>
            <w:hideMark/>
          </w:tcPr>
          <w:p w14:paraId="0E7049A9" w14:textId="77777777" w:rsidR="006C5AD4" w:rsidRPr="006C5AD4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5A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OCTUBRE 2026</w:t>
            </w:r>
          </w:p>
        </w:tc>
      </w:tr>
    </w:tbl>
    <w:p w14:paraId="0D303773" w14:textId="77777777" w:rsidR="00426965" w:rsidRDefault="0042696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7E2DA2B" w14:textId="77777777" w:rsidR="006C5AD4" w:rsidRDefault="006C5AD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87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1626"/>
        <w:gridCol w:w="362"/>
        <w:gridCol w:w="1136"/>
        <w:gridCol w:w="1435"/>
        <w:gridCol w:w="320"/>
        <w:gridCol w:w="1615"/>
        <w:gridCol w:w="956"/>
      </w:tblGrid>
      <w:tr w:rsidR="006C5AD4" w:rsidRPr="008514E0" w14:paraId="633F768B" w14:textId="77777777" w:rsidTr="008514E0">
        <w:trPr>
          <w:trHeight w:val="474"/>
          <w:jc w:val="center"/>
        </w:trPr>
        <w:tc>
          <w:tcPr>
            <w:tcW w:w="2913" w:type="dxa"/>
            <w:gridSpan w:val="2"/>
            <w:tcBorders>
              <w:top w:val="single" w:sz="12" w:space="0" w:color="512351"/>
              <w:left w:val="single" w:sz="12" w:space="0" w:color="512351"/>
              <w:bottom w:val="single" w:sz="4" w:space="0" w:color="530D3F"/>
              <w:right w:val="single" w:sz="12" w:space="0" w:color="512351"/>
            </w:tcBorders>
            <w:shd w:val="clear" w:color="000000" w:fill="512351"/>
            <w:vAlign w:val="center"/>
            <w:hideMark/>
          </w:tcPr>
          <w:p w14:paraId="67A71FAD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  <w:t>TARIFAS POR PERSONA EN USD PRENIGHT/POSTNIGHT EN FRANKFURT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2557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2571" w:type="dxa"/>
            <w:gridSpan w:val="2"/>
            <w:tcBorders>
              <w:top w:val="single" w:sz="12" w:space="0" w:color="512351"/>
              <w:left w:val="single" w:sz="12" w:space="0" w:color="512351"/>
              <w:bottom w:val="single" w:sz="4" w:space="0" w:color="530D3F"/>
              <w:right w:val="single" w:sz="12" w:space="0" w:color="512351"/>
            </w:tcBorders>
            <w:shd w:val="clear" w:color="000000" w:fill="512351"/>
            <w:vAlign w:val="center"/>
            <w:hideMark/>
          </w:tcPr>
          <w:p w14:paraId="22E026E4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  <w:t>TARIFAS POR PERSONA EN USD PRENIGHT/POSTNIGHT EN ZÚRICH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B9B8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2571" w:type="dxa"/>
            <w:gridSpan w:val="2"/>
            <w:tcBorders>
              <w:top w:val="single" w:sz="12" w:space="0" w:color="512351"/>
              <w:left w:val="single" w:sz="12" w:space="0" w:color="512351"/>
              <w:bottom w:val="nil"/>
              <w:right w:val="single" w:sz="12" w:space="0" w:color="512351"/>
            </w:tcBorders>
            <w:shd w:val="clear" w:color="000000" w:fill="512351"/>
            <w:vAlign w:val="center"/>
            <w:hideMark/>
          </w:tcPr>
          <w:p w14:paraId="2A2186DC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  <w:t>CALENDARIO DE LLEGADAS 2026 DOMINGOS</w:t>
            </w:r>
          </w:p>
        </w:tc>
      </w:tr>
      <w:tr w:rsidR="006C5AD4" w:rsidRPr="008514E0" w14:paraId="3FF4FCAB" w14:textId="77777777" w:rsidTr="008514E0">
        <w:trPr>
          <w:trHeight w:val="203"/>
          <w:jc w:val="center"/>
        </w:trPr>
        <w:tc>
          <w:tcPr>
            <w:tcW w:w="1287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14B39D6C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OCUP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D6DCE4"/>
            <w:noWrap/>
            <w:vAlign w:val="center"/>
            <w:hideMark/>
          </w:tcPr>
          <w:p w14:paraId="49AAF36D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PRECIO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8978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1136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262B9783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OCUP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D6DCE4"/>
            <w:noWrap/>
            <w:vAlign w:val="center"/>
            <w:hideMark/>
          </w:tcPr>
          <w:p w14:paraId="71604B09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PRECIO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9F4B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single" w:sz="12" w:space="0" w:color="512351"/>
              <w:bottom w:val="nil"/>
              <w:right w:val="single" w:sz="12" w:space="0" w:color="512351"/>
            </w:tcBorders>
            <w:shd w:val="clear" w:color="000000" w:fill="D6DCE4"/>
            <w:vAlign w:val="center"/>
            <w:hideMark/>
          </w:tcPr>
          <w:p w14:paraId="228AC003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GUÍA BILINGÜE </w:t>
            </w:r>
          </w:p>
        </w:tc>
      </w:tr>
      <w:tr w:rsidR="006C5AD4" w:rsidRPr="008514E0" w14:paraId="41DCA1B9" w14:textId="77777777" w:rsidTr="008514E0">
        <w:trPr>
          <w:trHeight w:val="203"/>
          <w:jc w:val="center"/>
        </w:trPr>
        <w:tc>
          <w:tcPr>
            <w:tcW w:w="1287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E1433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DBL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49A9A778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7040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36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10FEE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DBL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61CCFEA4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280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C9F9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615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E1A9E" w14:textId="77777777" w:rsidR="006C5AD4" w:rsidRPr="008514E0" w:rsidRDefault="006C5AD4" w:rsidP="006C5A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MAYO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140FEBFA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24</w:t>
            </w:r>
          </w:p>
        </w:tc>
      </w:tr>
      <w:tr w:rsidR="006C5AD4" w:rsidRPr="008514E0" w14:paraId="5CB6CFEB" w14:textId="77777777" w:rsidTr="008514E0">
        <w:trPr>
          <w:trHeight w:val="203"/>
          <w:jc w:val="center"/>
        </w:trPr>
        <w:tc>
          <w:tcPr>
            <w:tcW w:w="1287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5101F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SGL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36B84DE7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170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6C2F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36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03C0B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SGL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1B3C13DE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390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E305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615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C2513" w14:textId="77777777" w:rsidR="006C5AD4" w:rsidRPr="008514E0" w:rsidRDefault="006C5AD4" w:rsidP="006C5A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JUNIO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65071B7F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7,28</w:t>
            </w:r>
          </w:p>
        </w:tc>
      </w:tr>
      <w:tr w:rsidR="006C5AD4" w:rsidRPr="008514E0" w14:paraId="3C678F67" w14:textId="77777777" w:rsidTr="008514E0">
        <w:trPr>
          <w:trHeight w:val="211"/>
          <w:jc w:val="center"/>
        </w:trPr>
        <w:tc>
          <w:tcPr>
            <w:tcW w:w="1287" w:type="dxa"/>
            <w:tcBorders>
              <w:top w:val="nil"/>
              <w:left w:val="single" w:sz="12" w:space="0" w:color="512351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6C536314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TPL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560CE801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6460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36" w:type="dxa"/>
            <w:tcBorders>
              <w:top w:val="nil"/>
              <w:left w:val="single" w:sz="12" w:space="0" w:color="512351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107093F0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TPL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49E82897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240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A10DB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615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57FE6" w14:textId="77777777" w:rsidR="006C5AD4" w:rsidRPr="008514E0" w:rsidRDefault="006C5AD4" w:rsidP="006C5A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JULIO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0DD841F8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12,26</w:t>
            </w:r>
          </w:p>
        </w:tc>
      </w:tr>
      <w:tr w:rsidR="006C5AD4" w:rsidRPr="008514E0" w14:paraId="6F72FE5E" w14:textId="77777777" w:rsidTr="008514E0">
        <w:trPr>
          <w:trHeight w:val="211"/>
          <w:jc w:val="center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37C2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0969" w14:textId="77777777" w:rsidR="006C5AD4" w:rsidRPr="008514E0" w:rsidRDefault="006C5AD4" w:rsidP="006C5A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C568" w14:textId="77777777" w:rsidR="006C5AD4" w:rsidRPr="008514E0" w:rsidRDefault="006C5AD4" w:rsidP="006C5A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EC78" w14:textId="77777777" w:rsidR="006C5AD4" w:rsidRPr="008514E0" w:rsidRDefault="006C5AD4" w:rsidP="006C5A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683A" w14:textId="77777777" w:rsidR="006C5AD4" w:rsidRPr="008514E0" w:rsidRDefault="006C5AD4" w:rsidP="006C5A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2820" w14:textId="77777777" w:rsidR="006C5AD4" w:rsidRPr="008514E0" w:rsidRDefault="006C5AD4" w:rsidP="006C5A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  <w:tc>
          <w:tcPr>
            <w:tcW w:w="1615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A302A" w14:textId="77777777" w:rsidR="006C5AD4" w:rsidRPr="008514E0" w:rsidRDefault="006C5AD4" w:rsidP="006C5A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AGOSTO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0EC67B40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9,30</w:t>
            </w:r>
          </w:p>
        </w:tc>
      </w:tr>
      <w:tr w:rsidR="006C5AD4" w:rsidRPr="008514E0" w14:paraId="6B88A3DC" w14:textId="77777777" w:rsidTr="008514E0">
        <w:trPr>
          <w:trHeight w:val="211"/>
          <w:jc w:val="center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5E3A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9722" w14:textId="77777777" w:rsidR="006C5AD4" w:rsidRPr="008514E0" w:rsidRDefault="006C5AD4" w:rsidP="006C5A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D8CE" w14:textId="77777777" w:rsidR="006C5AD4" w:rsidRPr="008514E0" w:rsidRDefault="006C5AD4" w:rsidP="006C5A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2E6C" w14:textId="77777777" w:rsidR="006C5AD4" w:rsidRPr="008514E0" w:rsidRDefault="006C5AD4" w:rsidP="006C5A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F265" w14:textId="77777777" w:rsidR="006C5AD4" w:rsidRPr="008514E0" w:rsidRDefault="006C5AD4" w:rsidP="006C5A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14FD" w14:textId="77777777" w:rsidR="006C5AD4" w:rsidRPr="008514E0" w:rsidRDefault="006C5AD4" w:rsidP="006C5A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  <w:tc>
          <w:tcPr>
            <w:tcW w:w="1615" w:type="dxa"/>
            <w:tcBorders>
              <w:top w:val="nil"/>
              <w:left w:val="single" w:sz="12" w:space="0" w:color="512351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4E3AF0F8" w14:textId="77777777" w:rsidR="006C5AD4" w:rsidRPr="008514E0" w:rsidRDefault="006C5AD4" w:rsidP="006C5A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OCTUBRE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463B49BD" w14:textId="77777777" w:rsidR="006C5AD4" w:rsidRPr="008514E0" w:rsidRDefault="006C5AD4" w:rsidP="006C5A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8514E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18</w:t>
            </w:r>
          </w:p>
        </w:tc>
      </w:tr>
    </w:tbl>
    <w:p w14:paraId="68C25AB9" w14:textId="2C051152" w:rsidR="00F90986" w:rsidRPr="00A0012D" w:rsidRDefault="00F90986" w:rsidP="00426965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0986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F548" w14:textId="77777777" w:rsidR="00CA3807" w:rsidRDefault="00CA3807">
      <w:pPr>
        <w:spacing w:after="0" w:line="240" w:lineRule="auto"/>
      </w:pPr>
      <w:r>
        <w:separator/>
      </w:r>
    </w:p>
  </w:endnote>
  <w:endnote w:type="continuationSeparator" w:id="0">
    <w:p w14:paraId="6F2BC918" w14:textId="77777777" w:rsidR="00CA3807" w:rsidRDefault="00CA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E67B" w14:textId="77777777" w:rsidR="00CA3807" w:rsidRDefault="00CA3807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697BD2E" w14:textId="77777777" w:rsidR="00CA3807" w:rsidRDefault="00CA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49448A2" w:rsidR="00A0012D" w:rsidRDefault="00E94D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2CFAEF4C" wp14:editId="5B8EA667">
          <wp:simplePos x="0" y="0"/>
          <wp:positionH relativeFrom="column">
            <wp:posOffset>2962275</wp:posOffset>
          </wp:positionH>
          <wp:positionV relativeFrom="paragraph">
            <wp:posOffset>8890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74DCA0F1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3E68F32" w14:textId="77777777" w:rsidR="000325E5" w:rsidRDefault="000325E5" w:rsidP="00082D54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325E5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ALEMANIA ROMÁNTICA Y SUIZA DE ENSUEÑO   </w:t>
                          </w:r>
                        </w:p>
                        <w:p w14:paraId="1259232A" w14:textId="32F74A35" w:rsidR="00A0012D" w:rsidRPr="000325E5" w:rsidRDefault="000325E5" w:rsidP="00082D54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"/>
                              <w:szCs w:val="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325E5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1340-E2026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3E68F32" w14:textId="77777777" w:rsidR="000325E5" w:rsidRDefault="000325E5" w:rsidP="00082D54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325E5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ALEMANIA ROMÁNTICA Y SUIZA DE ENSUEÑO   </w:t>
                    </w:r>
                  </w:p>
                  <w:p w14:paraId="1259232A" w14:textId="32F74A35" w:rsidR="00A0012D" w:rsidRPr="000325E5" w:rsidRDefault="000325E5" w:rsidP="00082D54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"/>
                        <w:szCs w:val="2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0325E5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1340-E2026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29C48E4F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1F3E0F58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B63E5"/>
    <w:multiLevelType w:val="hybridMultilevel"/>
    <w:tmpl w:val="17B626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A2051FE"/>
    <w:multiLevelType w:val="multilevel"/>
    <w:tmpl w:val="A78C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F06985"/>
    <w:multiLevelType w:val="multilevel"/>
    <w:tmpl w:val="B53A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45119F1"/>
    <w:multiLevelType w:val="hybridMultilevel"/>
    <w:tmpl w:val="B40A7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2"/>
  </w:num>
  <w:num w:numId="3" w16cid:durableId="1041170892">
    <w:abstractNumId w:val="23"/>
  </w:num>
  <w:num w:numId="4" w16cid:durableId="1033921887">
    <w:abstractNumId w:val="36"/>
  </w:num>
  <w:num w:numId="5" w16cid:durableId="353725778">
    <w:abstractNumId w:val="24"/>
  </w:num>
  <w:num w:numId="6" w16cid:durableId="1716585056">
    <w:abstractNumId w:val="43"/>
  </w:num>
  <w:num w:numId="7" w16cid:durableId="844133380">
    <w:abstractNumId w:val="17"/>
  </w:num>
  <w:num w:numId="8" w16cid:durableId="1397362128">
    <w:abstractNumId w:val="10"/>
  </w:num>
  <w:num w:numId="9" w16cid:durableId="655494188">
    <w:abstractNumId w:val="16"/>
  </w:num>
  <w:num w:numId="10" w16cid:durableId="1272128669">
    <w:abstractNumId w:val="20"/>
  </w:num>
  <w:num w:numId="11" w16cid:durableId="1973628246">
    <w:abstractNumId w:val="18"/>
  </w:num>
  <w:num w:numId="12" w16cid:durableId="11761755">
    <w:abstractNumId w:val="2"/>
  </w:num>
  <w:num w:numId="13" w16cid:durableId="1819877016">
    <w:abstractNumId w:val="26"/>
  </w:num>
  <w:num w:numId="14" w16cid:durableId="1296522864">
    <w:abstractNumId w:val="39"/>
  </w:num>
  <w:num w:numId="15" w16cid:durableId="1904682630">
    <w:abstractNumId w:val="29"/>
  </w:num>
  <w:num w:numId="16" w16cid:durableId="460078524">
    <w:abstractNumId w:val="25"/>
  </w:num>
  <w:num w:numId="17" w16cid:durableId="1968504851">
    <w:abstractNumId w:val="33"/>
  </w:num>
  <w:num w:numId="18" w16cid:durableId="1167555093">
    <w:abstractNumId w:val="35"/>
  </w:num>
  <w:num w:numId="19" w16cid:durableId="598945982">
    <w:abstractNumId w:val="30"/>
  </w:num>
  <w:num w:numId="20" w16cid:durableId="1140269920">
    <w:abstractNumId w:val="13"/>
  </w:num>
  <w:num w:numId="21" w16cid:durableId="2122257090">
    <w:abstractNumId w:val="21"/>
  </w:num>
  <w:num w:numId="22" w16cid:durableId="888809429">
    <w:abstractNumId w:val="28"/>
  </w:num>
  <w:num w:numId="23" w16cid:durableId="485587264">
    <w:abstractNumId w:val="38"/>
  </w:num>
  <w:num w:numId="24" w16cid:durableId="1849517048">
    <w:abstractNumId w:val="37"/>
  </w:num>
  <w:num w:numId="25" w16cid:durableId="2010865070">
    <w:abstractNumId w:val="6"/>
  </w:num>
  <w:num w:numId="26" w16cid:durableId="1067849433">
    <w:abstractNumId w:val="22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0"/>
  </w:num>
  <w:num w:numId="30" w16cid:durableId="25179858">
    <w:abstractNumId w:val="34"/>
  </w:num>
  <w:num w:numId="31" w16cid:durableId="923074745">
    <w:abstractNumId w:val="41"/>
  </w:num>
  <w:num w:numId="32" w16cid:durableId="116720605">
    <w:abstractNumId w:val="45"/>
  </w:num>
  <w:num w:numId="33" w16cid:durableId="2069497245">
    <w:abstractNumId w:val="8"/>
  </w:num>
  <w:num w:numId="34" w16cid:durableId="775835334">
    <w:abstractNumId w:val="27"/>
  </w:num>
  <w:num w:numId="35" w16cid:durableId="1096292628">
    <w:abstractNumId w:val="19"/>
  </w:num>
  <w:num w:numId="36" w16cid:durableId="144247004">
    <w:abstractNumId w:val="5"/>
  </w:num>
  <w:num w:numId="37" w16cid:durableId="253785072">
    <w:abstractNumId w:val="11"/>
  </w:num>
  <w:num w:numId="38" w16cid:durableId="1593657973">
    <w:abstractNumId w:val="9"/>
  </w:num>
  <w:num w:numId="39" w16cid:durableId="280498928">
    <w:abstractNumId w:val="14"/>
  </w:num>
  <w:num w:numId="40" w16cid:durableId="209998082">
    <w:abstractNumId w:val="4"/>
  </w:num>
  <w:num w:numId="41" w16cid:durableId="539242049">
    <w:abstractNumId w:val="12"/>
  </w:num>
  <w:num w:numId="42" w16cid:durableId="1577590956">
    <w:abstractNumId w:val="15"/>
  </w:num>
  <w:num w:numId="43" w16cid:durableId="1798798430">
    <w:abstractNumId w:val="44"/>
  </w:num>
  <w:num w:numId="44" w16cid:durableId="1346054690">
    <w:abstractNumId w:val="7"/>
  </w:num>
  <w:num w:numId="45" w16cid:durableId="1669824312">
    <w:abstractNumId w:val="31"/>
  </w:num>
  <w:num w:numId="46" w16cid:durableId="18791260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325E5"/>
    <w:rsid w:val="00045FB8"/>
    <w:rsid w:val="00046134"/>
    <w:rsid w:val="00050012"/>
    <w:rsid w:val="0005314F"/>
    <w:rsid w:val="0007699E"/>
    <w:rsid w:val="00082D54"/>
    <w:rsid w:val="00095707"/>
    <w:rsid w:val="000B21F2"/>
    <w:rsid w:val="000B4B26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60B4A"/>
    <w:rsid w:val="00160EB4"/>
    <w:rsid w:val="00162F9E"/>
    <w:rsid w:val="00163109"/>
    <w:rsid w:val="00163ACE"/>
    <w:rsid w:val="00175BA7"/>
    <w:rsid w:val="001760D9"/>
    <w:rsid w:val="0017623E"/>
    <w:rsid w:val="00180E21"/>
    <w:rsid w:val="00181EF5"/>
    <w:rsid w:val="00181F34"/>
    <w:rsid w:val="00184E44"/>
    <w:rsid w:val="001934F5"/>
    <w:rsid w:val="0019595B"/>
    <w:rsid w:val="00197448"/>
    <w:rsid w:val="001B45F0"/>
    <w:rsid w:val="001C1770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C8"/>
    <w:rsid w:val="00274E6D"/>
    <w:rsid w:val="0027508A"/>
    <w:rsid w:val="002802A5"/>
    <w:rsid w:val="0028423B"/>
    <w:rsid w:val="00284D15"/>
    <w:rsid w:val="00293FFC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3C0D"/>
    <w:rsid w:val="003757CD"/>
    <w:rsid w:val="00382BE5"/>
    <w:rsid w:val="003A3A23"/>
    <w:rsid w:val="003A46B5"/>
    <w:rsid w:val="003B4EF0"/>
    <w:rsid w:val="003B759B"/>
    <w:rsid w:val="003C1FB4"/>
    <w:rsid w:val="003D5E36"/>
    <w:rsid w:val="003F4C94"/>
    <w:rsid w:val="004002E5"/>
    <w:rsid w:val="0040260F"/>
    <w:rsid w:val="00406B6E"/>
    <w:rsid w:val="004142B9"/>
    <w:rsid w:val="00415D0D"/>
    <w:rsid w:val="00416D52"/>
    <w:rsid w:val="004217DC"/>
    <w:rsid w:val="00426965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4086"/>
    <w:rsid w:val="004B58B8"/>
    <w:rsid w:val="004C3BCB"/>
    <w:rsid w:val="004C62D5"/>
    <w:rsid w:val="004C6385"/>
    <w:rsid w:val="004D1B7B"/>
    <w:rsid w:val="004F3ADB"/>
    <w:rsid w:val="00514B5C"/>
    <w:rsid w:val="005305E1"/>
    <w:rsid w:val="005378C5"/>
    <w:rsid w:val="00546DB9"/>
    <w:rsid w:val="005507FE"/>
    <w:rsid w:val="00554B42"/>
    <w:rsid w:val="005679E5"/>
    <w:rsid w:val="005712C4"/>
    <w:rsid w:val="005746E5"/>
    <w:rsid w:val="00581226"/>
    <w:rsid w:val="005A65C2"/>
    <w:rsid w:val="005B7452"/>
    <w:rsid w:val="005B7BB7"/>
    <w:rsid w:val="005C2EE5"/>
    <w:rsid w:val="005D3466"/>
    <w:rsid w:val="005D4593"/>
    <w:rsid w:val="005D54BC"/>
    <w:rsid w:val="00600CC3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C1CB0"/>
    <w:rsid w:val="006C2396"/>
    <w:rsid w:val="006C5AD4"/>
    <w:rsid w:val="006D2552"/>
    <w:rsid w:val="006D29F5"/>
    <w:rsid w:val="006D72E8"/>
    <w:rsid w:val="006E2658"/>
    <w:rsid w:val="006F0C08"/>
    <w:rsid w:val="00700F8E"/>
    <w:rsid w:val="00706CC3"/>
    <w:rsid w:val="00724E17"/>
    <w:rsid w:val="00736ED4"/>
    <w:rsid w:val="007405ED"/>
    <w:rsid w:val="00767F6E"/>
    <w:rsid w:val="00792113"/>
    <w:rsid w:val="00792693"/>
    <w:rsid w:val="007938E9"/>
    <w:rsid w:val="00794B66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17D0"/>
    <w:rsid w:val="0084310C"/>
    <w:rsid w:val="008514E0"/>
    <w:rsid w:val="00854018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A27D1"/>
    <w:rsid w:val="009C1CB2"/>
    <w:rsid w:val="009D4BAD"/>
    <w:rsid w:val="009D557D"/>
    <w:rsid w:val="009E6769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16B4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556FA"/>
    <w:rsid w:val="00B66960"/>
    <w:rsid w:val="00B814D1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0E18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844A2"/>
    <w:rsid w:val="00C8627A"/>
    <w:rsid w:val="00C90CC1"/>
    <w:rsid w:val="00C91AEF"/>
    <w:rsid w:val="00C94E6D"/>
    <w:rsid w:val="00C97FB6"/>
    <w:rsid w:val="00CA3807"/>
    <w:rsid w:val="00CA7A1B"/>
    <w:rsid w:val="00CB0CC0"/>
    <w:rsid w:val="00CB4DCC"/>
    <w:rsid w:val="00CB5F62"/>
    <w:rsid w:val="00CC1F0F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32C2"/>
    <w:rsid w:val="00DA0C05"/>
    <w:rsid w:val="00DC4401"/>
    <w:rsid w:val="00DD2475"/>
    <w:rsid w:val="00E049A3"/>
    <w:rsid w:val="00E30AF6"/>
    <w:rsid w:val="00E42B74"/>
    <w:rsid w:val="00E5517C"/>
    <w:rsid w:val="00E6536A"/>
    <w:rsid w:val="00E701F2"/>
    <w:rsid w:val="00E74CDB"/>
    <w:rsid w:val="00E81F32"/>
    <w:rsid w:val="00E856F2"/>
    <w:rsid w:val="00E86888"/>
    <w:rsid w:val="00E8754A"/>
    <w:rsid w:val="00E9481B"/>
    <w:rsid w:val="00E94D31"/>
    <w:rsid w:val="00E964A3"/>
    <w:rsid w:val="00EB5301"/>
    <w:rsid w:val="00EB6323"/>
    <w:rsid w:val="00EB6D77"/>
    <w:rsid w:val="00ED4F7B"/>
    <w:rsid w:val="00EE0B03"/>
    <w:rsid w:val="00EE2794"/>
    <w:rsid w:val="00EE4F07"/>
    <w:rsid w:val="00EE5A2D"/>
    <w:rsid w:val="00EF2C57"/>
    <w:rsid w:val="00EF6970"/>
    <w:rsid w:val="00EF759D"/>
    <w:rsid w:val="00F01C44"/>
    <w:rsid w:val="00F1109F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0986"/>
    <w:rsid w:val="00F939E3"/>
    <w:rsid w:val="00F958D8"/>
    <w:rsid w:val="00FA122F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1120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4</cp:revision>
  <dcterms:created xsi:type="dcterms:W3CDTF">2026-02-01T05:14:00Z</dcterms:created>
  <dcterms:modified xsi:type="dcterms:W3CDTF">2026-02-14T21:57:00Z</dcterms:modified>
</cp:coreProperties>
</file>