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1E5C" w14:textId="000EBA94" w:rsidR="00622264" w:rsidRDefault="00263754" w:rsidP="00060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LIUBLIANA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POSTOJNA Y ZAGREB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LAGOS DE PLITVICE Y SPLIT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DUBROVNIK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MEDJUGORJE Y MOSTAR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SARAJEVO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BELGRADO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SREMSKI KARLOVCI Y NOVI SAD</w:t>
      </w:r>
      <w:r>
        <w:rPr>
          <w:rFonts w:asciiTheme="minorHAnsi" w:eastAsia="Arial" w:hAnsiTheme="minorHAnsi" w:cstheme="minorHAnsi"/>
          <w:b/>
          <w:color w:val="EE0000"/>
          <w:sz w:val="28"/>
          <w:szCs w:val="28"/>
        </w:rPr>
        <w:t xml:space="preserve">, </w:t>
      </w:r>
      <w:r w:rsidRPr="00060D9B">
        <w:rPr>
          <w:rFonts w:asciiTheme="minorHAnsi" w:eastAsia="Arial" w:hAnsiTheme="minorHAnsi" w:cstheme="minorHAnsi"/>
          <w:b/>
          <w:color w:val="EE0000"/>
          <w:sz w:val="28"/>
          <w:szCs w:val="28"/>
        </w:rPr>
        <w:t>BELGRADO</w:t>
      </w:r>
    </w:p>
    <w:p w14:paraId="06D0C74E" w14:textId="77777777" w:rsidR="00060D9B" w:rsidRDefault="00060D9B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769D2CE8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B5E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ACE455C" w14:textId="0329ED39" w:rsidR="00622264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4B5E48" w:rsidRPr="004B5E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miércoles fechas específicas de abril a octubre 2026</w:t>
      </w:r>
    </w:p>
    <w:p w14:paraId="4E1000F6" w14:textId="4D16B298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AA4220A" w14:textId="4E4E3789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LIUBLIANA</w:t>
      </w:r>
    </w:p>
    <w:p w14:paraId="75BA9473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desde el aeropuerto de Venecia o de Liubliana al hotel en Liubliana. Alojamiento en Liubliana.</w:t>
      </w:r>
    </w:p>
    <w:p w14:paraId="11DDF02C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538D26" w14:textId="103D49E4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BLED Y LIUBLIANA</w:t>
      </w:r>
    </w:p>
    <w:p w14:paraId="425A9105" w14:textId="001549F2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salida a uno de los lugares más lindos del país.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Bled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hermosísimo pueblo de ‘postal’, junto a un lago y un castillo medieval. Incluimos un paseo en barco por el lago de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Bled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visitando la islita y la iglesia. Por la tarde visita de la pequeña capital de Eslovenia a pie incluye la Catedral barroca, los “Tres puentes” y la Plaza “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Mestni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trg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aprovechar de la ciudad.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277A38B8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DEC4C3" w14:textId="39331894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POSTOJNA Y ZAGREB</w:t>
      </w:r>
    </w:p>
    <w:p w14:paraId="7B2F1F1D" w14:textId="1B3CA9CF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Visitaremos las Cuevas de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Postojna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sus 20 kilómetros de galerías. El viaje continuará hacia la capital de Croacia: Zagreb.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por la tarde y resto del día libre.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9C9972A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B91B5F" w14:textId="2C45F28E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ZAGREB</w:t>
      </w:r>
    </w:p>
    <w:p w14:paraId="495BE1AE" w14:textId="73AFC9EE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Por la mañana, la visita de la capital de Croacia que incluye el paseo por el centro histórico “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Gornji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Grad” con su famosa Catedral del siglo XIII, la iglesia de San Marcos y la Plaza del Rey Tomislav.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4EDA5B4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FACDE6" w14:textId="4619932F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LOS LAGOS DE PLITVICE Y SPLIT </w:t>
      </w:r>
    </w:p>
    <w:p w14:paraId="2FB9AC6C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partiremos hacia el Parque Nacional de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Plitvice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declarado Patrimonio Mundial por la UNESCO. Entrada al parque donde admiraremos sus lagos y cataratas; pasearemos por sus senderos y en algunas ocasiones (cuando sea posible) tomaremos los barcos que cruzan las aguas verdes de estos lagos. Continuación hacia Split.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alojamiento en el hotel en Split.</w:t>
      </w:r>
    </w:p>
    <w:p w14:paraId="01188A19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7692E9" w14:textId="77F78773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SPLIT</w:t>
      </w:r>
    </w:p>
    <w:p w14:paraId="50EEC677" w14:textId="0BFF212B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visita de la ciudad que también está en la lista de la UNESCO con su Palacio de Diocleciano, construido en el siglo III y reformado en la Edad Media, la Catedral de San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Duje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patrón de Split y el templo de Júpiter (exterior).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El resto del día libre.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340B60E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95321F" w14:textId="46066180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SPLIT</w:t>
      </w:r>
    </w:p>
    <w:p w14:paraId="3AB08CA1" w14:textId="3FF028C5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para actividades de carácter personal o excursiones opcionales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(a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Hvar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Medjugorje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(Se adquieren en destino).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20FCD43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4255D6" w14:textId="64DAC5D4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DUBROVNIK </w:t>
      </w:r>
    </w:p>
    <w:p w14:paraId="32E3CC0F" w14:textId="26E54E92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Saldremos por la mañana siguiendo la costa croata y los espectaculares paisajes de islas en el mar. Llegada a Dubrovnik, la ciudad llamada “La Perla del Adriático”. La antigua ciudad está en la lista de la UNESCO. Visitaremos la Catedral y el Monasterio Franciscano con la farmacia más antigua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81822B4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689E07" w14:textId="77777777" w:rsid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0F849A2" w14:textId="127ABB1A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9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DUBROVNIK</w:t>
      </w:r>
    </w:p>
    <w:p w14:paraId="502D7117" w14:textId="484A86D6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para actividades de carácter personal o excursiones opcionales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(a Montenegro).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A5863C2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F7FE11" w14:textId="4893FA08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MEDJUGORJE Y MOSTAR  </w:t>
      </w:r>
    </w:p>
    <w:p w14:paraId="54E97F70" w14:textId="1ADF42A4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Medjugorje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de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Medjugorje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ciudad preferida por los católicos, después de que en la colina cerca de la ciudad en el año 1981 apareció la Virgen María y comunicó su mensaje de la paz a los testigos. Continuamos el viaje a Mostar. Visita del símbolo de la ciudad, “El Puente Viejo”, construido de piedra en el siglo XVI y la Casa Turca. </w:t>
      </w: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el hotel en Mostar. *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(*en ciertas ocasiones la noche se pasará en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Medjugorje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en este caso se hará primero la visita de Mostar)</w:t>
      </w:r>
    </w:p>
    <w:p w14:paraId="1CCACC92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16D18F" w14:textId="3FD24AF0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SARAJEVO</w:t>
      </w:r>
    </w:p>
    <w:p w14:paraId="25723098" w14:textId="012EC716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Sarajevo. Llegada a la capital de Bosnia y Herzegovina. </w:t>
      </w:r>
      <w:r w:rsid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8BF024C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C7F799" w14:textId="0E338C35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SARAJEVO</w:t>
      </w:r>
    </w:p>
    <w:p w14:paraId="20DF90F3" w14:textId="4FEC1E6F" w:rsidR="004B5E48" w:rsidRPr="004B5E48" w:rsidRDefault="00474DD0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B5E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visita de la ciudad incluye el pintoresco bazar “Bas </w:t>
      </w:r>
      <w:proofErr w:type="spellStart"/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Carsija</w:t>
      </w:r>
      <w:proofErr w:type="spellEnd"/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”, la Mezquita de </w:t>
      </w:r>
      <w:proofErr w:type="spellStart"/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Husref</w:t>
      </w:r>
      <w:proofErr w:type="spellEnd"/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Beg y el Túnel de la Vida*. </w:t>
      </w:r>
      <w:r w:rsidR="004B5E48"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para actividades personales.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(*en ciertas ocasiones se visitará el Túnel de la Vida ya el sábado en el camino de Mostar a Sarajevo)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BC88941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464753" w14:textId="2290DF69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BELGRADO </w:t>
      </w:r>
    </w:p>
    <w:p w14:paraId="7E2B0447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Hoy viajaremos hacia Serbia y su capital, la ciudad de Belgrado. Belgrado es una de las ciudades más antiguas de Europa con una historia que se remonta a casi 7.000 años y que también es conocida por su vibrante vida nocturna. </w:t>
      </w: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Belgrado y alojamiento.</w:t>
      </w:r>
    </w:p>
    <w:p w14:paraId="535022C9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5350C3" w14:textId="2D641E2D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SREMSKI KARLOVCI Y NOVI SAD</w:t>
      </w:r>
    </w:p>
    <w:p w14:paraId="4B4E1737" w14:textId="0C6AB609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salida hacia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Sremski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Karlovci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ciudad-museo que durante los siglos XVIII y XIX fue el centro de la cultura y de la religión en Serbia. Incluida degustación de vino. Después de la visita salida hacia Novi Sad, la capital de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Vojvodina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Es el centro administrativo, económico, cultural y universitario de la región, que además cuenta con la bien conservada Fortaleza de </w:t>
      </w:r>
      <w:proofErr w:type="spellStart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Petrovaradin</w:t>
      </w:r>
      <w:proofErr w:type="spellEnd"/>
      <w:r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mira hacia la ciudad desde el otro lado del Danubio. Regreso a Belgrado.</w:t>
      </w:r>
      <w:r w:rsid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DDD72AC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84F439" w14:textId="2313A6D7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BELGRADO</w:t>
      </w:r>
    </w:p>
    <w:p w14:paraId="1E99E9FA" w14:textId="16400747" w:rsidR="004B5E48" w:rsidRPr="004B5E48" w:rsidRDefault="00474DD0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visita de la ciudad de Belgrado con el guía local. Durante el tour a pie pasearemos por la famosa calle comercial Knez Mihailova y por el casco antiguo de la ciudad. A través de los siglos, Belgrado, la capital de Serbia, se ha modelado a sí misma entre las riberas del Danubio y del Sava, ríos que serpentean en torno a su construcción más emblemática, la Fortaleza de </w:t>
      </w:r>
      <w:proofErr w:type="spellStart"/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>Kalemegdan</w:t>
      </w:r>
      <w:proofErr w:type="spellEnd"/>
      <w:r w:rsidR="004B5E48" w:rsidRPr="004B5E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El resto del día libre.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1B1E94D" w14:textId="77777777" w:rsidR="004B5E48" w:rsidRP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4FDB67" w14:textId="5F04DD0E" w:rsidR="004B5E48" w:rsidRPr="00060D9B" w:rsidRDefault="00060D9B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60D9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 | </w:t>
      </w:r>
      <w:r w:rsidRPr="00060D9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 BELGRADO</w:t>
      </w:r>
    </w:p>
    <w:p w14:paraId="11907CA5" w14:textId="6F10906A" w:rsidR="00622264" w:rsidRPr="00474DD0" w:rsidRDefault="00474DD0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4B5E48"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 para su vuelo de regreso.</w:t>
      </w:r>
      <w:r w:rsidRPr="00474DD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1E95C8A9" w14:textId="77777777" w:rsidR="004B5E48" w:rsidRDefault="004B5E48" w:rsidP="004B5E4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10DE767D" w:rsidR="00975738" w:rsidRPr="00622264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22264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762A37A2" w14:textId="77777777" w:rsidR="00622264" w:rsidRPr="00975738" w:rsidRDefault="00622264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56454B" w14:textId="77777777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 de guía acompañante de habla hispana </w:t>
      </w:r>
    </w:p>
    <w:p w14:paraId="7E80BE0D" w14:textId="77777777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hoteles indicados </w:t>
      </w:r>
    </w:p>
    <w:p w14:paraId="5CAD3652" w14:textId="47B79B80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Tasas hoteleras y de servicios</w:t>
      </w:r>
    </w:p>
    <w:p w14:paraId="7C09CD17" w14:textId="77777777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15 desayunos</w:t>
      </w:r>
    </w:p>
    <w:p w14:paraId="1F0DDB60" w14:textId="26D9E098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Traslados internos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vehículos de diferentes tamaños con aire acondicionado </w:t>
      </w:r>
    </w:p>
    <w:p w14:paraId="7DF59AA3" w14:textId="77777777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Maleteros en los hoteles (una maleta por persona)</w:t>
      </w:r>
    </w:p>
    <w:p w14:paraId="523A4BA3" w14:textId="77777777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</w:t>
      </w:r>
    </w:p>
    <w:p w14:paraId="0D5623A0" w14:textId="77777777" w:rsidR="00474DD0" w:rsidRPr="00474DD0" w:rsidRDefault="00474DD0" w:rsidP="00474DD0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Visitas incluidas:</w:t>
      </w:r>
    </w:p>
    <w:p w14:paraId="16AE78D8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Liubliana</w:t>
      </w:r>
    </w:p>
    <w:p w14:paraId="3E5EB722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Bled</w:t>
      </w:r>
      <w:proofErr w:type="spellEnd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(paseo en barco y la iglesia)</w:t>
      </w:r>
    </w:p>
    <w:p w14:paraId="52A463D3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Postojna</w:t>
      </w:r>
      <w:proofErr w:type="spellEnd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(Las Cuevas)</w:t>
      </w:r>
    </w:p>
    <w:p w14:paraId="079672A4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Zagreb </w:t>
      </w:r>
    </w:p>
    <w:p w14:paraId="31B8C104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Parque Nacional de </w:t>
      </w:r>
      <w:proofErr w:type="spellStart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Plitvice</w:t>
      </w:r>
      <w:proofErr w:type="spellEnd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(entrada al Parque)</w:t>
      </w:r>
    </w:p>
    <w:p w14:paraId="17D17C37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Split (El Palacio de Diocleciano) </w:t>
      </w:r>
    </w:p>
    <w:p w14:paraId="5A970193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Dubrovnik (La Catedral y el Monasterio Franciscano)</w:t>
      </w:r>
    </w:p>
    <w:p w14:paraId="6E245C0F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Medjugorje</w:t>
      </w:r>
      <w:proofErr w:type="spellEnd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(La iglesia) </w:t>
      </w:r>
    </w:p>
    <w:p w14:paraId="03ECAEBA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Mostar (La Casa Turca)</w:t>
      </w:r>
    </w:p>
    <w:p w14:paraId="29F7D20A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Sarajevo (El túnel de la Vida)</w:t>
      </w:r>
    </w:p>
    <w:p w14:paraId="23419384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Sremski</w:t>
      </w:r>
      <w:proofErr w:type="spellEnd"/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Karlovci (degustación de vino)</w:t>
      </w:r>
    </w:p>
    <w:p w14:paraId="25C4E62D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>Novi Sad</w:t>
      </w:r>
    </w:p>
    <w:p w14:paraId="0DBF212B" w14:textId="77777777" w:rsidR="00474DD0" w:rsidRPr="00474DD0" w:rsidRDefault="00474DD0" w:rsidP="00474DD0">
      <w:pPr>
        <w:pStyle w:val="Prrafodelista"/>
        <w:numPr>
          <w:ilvl w:val="1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74D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Belgrado 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4DDF76D4" w14:textId="77777777" w:rsidR="00622264" w:rsidRPr="003F4C94" w:rsidRDefault="0062226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27B61B1E" w14:textId="77777777" w:rsidR="00622264" w:rsidRPr="003F4C94" w:rsidRDefault="0062226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408F3542" w:rsidR="00BE42B8" w:rsidRPr="001F47B1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622264">
      <w:pPr>
        <w:pStyle w:val="Prrafode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4438"/>
        <w:gridCol w:w="434"/>
      </w:tblGrid>
      <w:tr w:rsidR="00474DD0" w:rsidRPr="00474DD0" w14:paraId="02BB28BA" w14:textId="77777777" w:rsidTr="00474DD0">
        <w:trPr>
          <w:trHeight w:val="246"/>
          <w:jc w:val="center"/>
        </w:trPr>
        <w:tc>
          <w:tcPr>
            <w:tcW w:w="5868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noWrap/>
            <w:vAlign w:val="center"/>
            <w:hideMark/>
          </w:tcPr>
          <w:p w14:paraId="2A07A7C0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474DD0" w:rsidRPr="00474DD0" w14:paraId="4C152A7C" w14:textId="77777777" w:rsidTr="00474DD0">
        <w:trPr>
          <w:trHeight w:val="238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61160EFB" w14:textId="77777777" w:rsidR="00474DD0" w:rsidRPr="00474DD0" w:rsidRDefault="00474DD0" w:rsidP="00474DD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2649A1DB" w14:textId="77777777" w:rsidR="00474DD0" w:rsidRPr="00474DD0" w:rsidRDefault="00474DD0" w:rsidP="00474DD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ECEAE3"/>
            <w:noWrap/>
            <w:vAlign w:val="center"/>
            <w:hideMark/>
          </w:tcPr>
          <w:p w14:paraId="71D323E6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474DD0" w:rsidRPr="00474DD0" w14:paraId="39783574" w14:textId="77777777" w:rsidTr="00474DD0">
        <w:trPr>
          <w:trHeight w:val="246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C1AB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LIUBLIANA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1A92B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en-US" w:bidi="ar-SA"/>
              </w:rPr>
              <w:t xml:space="preserve">HOTEL LEV/HOTEL M/RADISSON BLU PLAZA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2193AD9D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4DD0" w:rsidRPr="00474DD0" w14:paraId="0FB30BCE" w14:textId="77777777" w:rsidTr="00474DD0">
        <w:trPr>
          <w:trHeight w:val="271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77FAD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ZAGREB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9F633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SHERATON/DUBROVNIK/ARISTOS/ZONAR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53C6E103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4DD0" w:rsidRPr="00474DD0" w14:paraId="24F3343B" w14:textId="77777777" w:rsidTr="00474DD0">
        <w:trPr>
          <w:trHeight w:val="271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89DE6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SPLIT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E6602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en-US" w:bidi="ar-SA"/>
              </w:rPr>
              <w:t xml:space="preserve">HOTEL ART/PRESIDENT SOLIN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2E0C3252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4DD0" w:rsidRPr="00474DD0" w14:paraId="04D5440E" w14:textId="77777777" w:rsidTr="00474DD0">
        <w:trPr>
          <w:trHeight w:val="246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77701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DUBROVNIK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D245A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LACROMA/ARGOSY/TIRENA/REMISENS ALBATROS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4D385302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4DD0" w:rsidRPr="00474DD0" w14:paraId="22074F77" w14:textId="77777777" w:rsidTr="00474DD0">
        <w:trPr>
          <w:trHeight w:val="246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08CC7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MOSTAR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570E8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EDEN/MEPAS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69093A1D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4DD0" w:rsidRPr="00474DD0" w14:paraId="65C243AF" w14:textId="77777777" w:rsidTr="00474DD0">
        <w:trPr>
          <w:trHeight w:val="257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05569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SARAJEVO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95412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PRESIDENT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70FAEF7B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4DD0" w:rsidRPr="00474DD0" w14:paraId="74AEEF14" w14:textId="77777777" w:rsidTr="00474DD0">
        <w:trPr>
          <w:trHeight w:val="254"/>
          <w:jc w:val="center"/>
        </w:trPr>
        <w:tc>
          <w:tcPr>
            <w:tcW w:w="1041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  <w:shd w:val="clear" w:color="000000" w:fill="FFFFFF"/>
            <w:vAlign w:val="center"/>
            <w:hideMark/>
          </w:tcPr>
          <w:p w14:paraId="68AB701B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BELGRADO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000000" w:fill="FFFFFF"/>
            <w:noWrap/>
            <w:vAlign w:val="center"/>
            <w:hideMark/>
          </w:tcPr>
          <w:p w14:paraId="13F8AC5B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color w:val="000000"/>
                <w:sz w:val="18"/>
                <w:szCs w:val="18"/>
                <w:lang w:val="pt-BR" w:bidi="ar-SA"/>
              </w:rPr>
              <w:t xml:space="preserve">HOTEL PRAG/MONA PLAZA </w:t>
            </w:r>
          </w:p>
        </w:tc>
        <w:tc>
          <w:tcPr>
            <w:tcW w:w="388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45F8CBCA" w14:textId="77777777" w:rsidR="00474DD0" w:rsidRPr="00474DD0" w:rsidRDefault="00474DD0" w:rsidP="00474D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4D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2A207AC6" w14:textId="77777777" w:rsidR="00622264" w:rsidRDefault="00622264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D7886EA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433684D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2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768"/>
        <w:gridCol w:w="163"/>
      </w:tblGrid>
      <w:tr w:rsidR="00060D9B" w:rsidRPr="00060D9B" w14:paraId="135BE9B1" w14:textId="77777777" w:rsidTr="00060D9B">
        <w:trPr>
          <w:gridAfter w:val="1"/>
          <w:wAfter w:w="163" w:type="dxa"/>
          <w:trHeight w:val="471"/>
          <w:jc w:val="center"/>
        </w:trPr>
        <w:tc>
          <w:tcPr>
            <w:tcW w:w="2048" w:type="dxa"/>
            <w:gridSpan w:val="2"/>
            <w:vMerge w:val="restart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vAlign w:val="center"/>
            <w:hideMark/>
          </w:tcPr>
          <w:p w14:paraId="21C4BB8E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060D9B" w:rsidRPr="00060D9B" w14:paraId="2087BCE7" w14:textId="77777777" w:rsidTr="00060D9B">
        <w:trPr>
          <w:trHeight w:val="229"/>
          <w:jc w:val="center"/>
        </w:trPr>
        <w:tc>
          <w:tcPr>
            <w:tcW w:w="2048" w:type="dxa"/>
            <w:gridSpan w:val="2"/>
            <w:vMerge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vAlign w:val="center"/>
            <w:hideMark/>
          </w:tcPr>
          <w:p w14:paraId="4820DA21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11FC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060D9B" w:rsidRPr="00060D9B" w14:paraId="6E66F01A" w14:textId="77777777" w:rsidTr="00060D9B">
        <w:trPr>
          <w:trHeight w:val="237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6A0EB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0638174A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63" w:type="dxa"/>
            <w:vAlign w:val="center"/>
            <w:hideMark/>
          </w:tcPr>
          <w:p w14:paraId="30E22309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0D9B" w:rsidRPr="00060D9B" w14:paraId="0ADDB4BB" w14:textId="77777777" w:rsidTr="00060D9B">
        <w:trPr>
          <w:trHeight w:val="249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5FB7F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2C5E2043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6,20,27</w:t>
            </w:r>
          </w:p>
        </w:tc>
        <w:tc>
          <w:tcPr>
            <w:tcW w:w="163" w:type="dxa"/>
            <w:vAlign w:val="center"/>
            <w:hideMark/>
          </w:tcPr>
          <w:p w14:paraId="32087E30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0D9B" w:rsidRPr="00060D9B" w14:paraId="559F3313" w14:textId="77777777" w:rsidTr="00060D9B">
        <w:trPr>
          <w:trHeight w:val="229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B33BC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09ACB048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10,24</w:t>
            </w:r>
          </w:p>
        </w:tc>
        <w:tc>
          <w:tcPr>
            <w:tcW w:w="163" w:type="dxa"/>
            <w:vAlign w:val="center"/>
            <w:hideMark/>
          </w:tcPr>
          <w:p w14:paraId="40F36CBC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0D9B" w:rsidRPr="00060D9B" w14:paraId="048C491C" w14:textId="77777777" w:rsidTr="00060D9B">
        <w:trPr>
          <w:trHeight w:val="229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74461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15872D55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8,22</w:t>
            </w:r>
          </w:p>
        </w:tc>
        <w:tc>
          <w:tcPr>
            <w:tcW w:w="163" w:type="dxa"/>
            <w:vAlign w:val="center"/>
            <w:hideMark/>
          </w:tcPr>
          <w:p w14:paraId="7DE2E586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0D9B" w:rsidRPr="00060D9B" w14:paraId="47D4177A" w14:textId="77777777" w:rsidTr="00060D9B">
        <w:trPr>
          <w:trHeight w:val="237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D5B5D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0B06CE5D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5,19</w:t>
            </w:r>
          </w:p>
        </w:tc>
        <w:tc>
          <w:tcPr>
            <w:tcW w:w="163" w:type="dxa"/>
            <w:vAlign w:val="center"/>
            <w:hideMark/>
          </w:tcPr>
          <w:p w14:paraId="1F277584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0D9B" w:rsidRPr="00060D9B" w14:paraId="7C855AB5" w14:textId="77777777" w:rsidTr="00060D9B">
        <w:trPr>
          <w:trHeight w:val="237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58AF3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3A0047C5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2,16,23</w:t>
            </w:r>
          </w:p>
        </w:tc>
        <w:tc>
          <w:tcPr>
            <w:tcW w:w="163" w:type="dxa"/>
            <w:vAlign w:val="center"/>
            <w:hideMark/>
          </w:tcPr>
          <w:p w14:paraId="37CE32F3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0D9B" w:rsidRPr="00060D9B" w14:paraId="54DDCC83" w14:textId="77777777" w:rsidTr="00060D9B">
        <w:trPr>
          <w:trHeight w:val="237"/>
          <w:jc w:val="center"/>
        </w:trPr>
        <w:tc>
          <w:tcPr>
            <w:tcW w:w="1280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  <w:shd w:val="clear" w:color="000000" w:fill="FFFFFF"/>
            <w:noWrap/>
            <w:vAlign w:val="center"/>
            <w:hideMark/>
          </w:tcPr>
          <w:p w14:paraId="22F5C811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  <w:shd w:val="clear" w:color="000000" w:fill="FFFFFF"/>
            <w:noWrap/>
            <w:vAlign w:val="center"/>
            <w:hideMark/>
          </w:tcPr>
          <w:p w14:paraId="4A0906D2" w14:textId="77777777" w:rsidR="00060D9B" w:rsidRPr="00060D9B" w:rsidRDefault="00060D9B" w:rsidP="00060D9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63" w:type="dxa"/>
            <w:vAlign w:val="center"/>
            <w:hideMark/>
          </w:tcPr>
          <w:p w14:paraId="57578D8A" w14:textId="77777777" w:rsidR="00060D9B" w:rsidRPr="00060D9B" w:rsidRDefault="00060D9B" w:rsidP="00060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7643E5BF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12903DB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1AD3BB7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9D6E8D2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6760A7" w14:textId="77777777" w:rsidR="00060D9B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3"/>
        <w:gridCol w:w="791"/>
        <w:gridCol w:w="822"/>
      </w:tblGrid>
      <w:tr w:rsidR="00060D9B" w:rsidRPr="00060D9B" w14:paraId="7B18BC92" w14:textId="77777777" w:rsidTr="00060D9B">
        <w:trPr>
          <w:trHeight w:val="250"/>
          <w:jc w:val="center"/>
        </w:trPr>
        <w:tc>
          <w:tcPr>
            <w:tcW w:w="6676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noWrap/>
            <w:vAlign w:val="bottom"/>
            <w:hideMark/>
          </w:tcPr>
          <w:p w14:paraId="4EC51DE5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060D9B" w:rsidRPr="00060D9B" w14:paraId="4E76F6B1" w14:textId="77777777" w:rsidTr="00060D9B">
        <w:trPr>
          <w:trHeight w:val="241"/>
          <w:jc w:val="center"/>
        </w:trPr>
        <w:tc>
          <w:tcPr>
            <w:tcW w:w="6676" w:type="dxa"/>
            <w:gridSpan w:val="3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0070C0"/>
            <w:noWrap/>
            <w:vAlign w:val="bottom"/>
            <w:hideMark/>
          </w:tcPr>
          <w:p w14:paraId="7F0719D5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060D9B" w:rsidRPr="00060D9B" w14:paraId="7E34FED6" w14:textId="77777777" w:rsidTr="00060D9B">
        <w:trPr>
          <w:trHeight w:val="250"/>
          <w:jc w:val="center"/>
        </w:trPr>
        <w:tc>
          <w:tcPr>
            <w:tcW w:w="5063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44E2B6F2" w14:textId="77777777" w:rsidR="00060D9B" w:rsidRPr="00060D9B" w:rsidRDefault="00060D9B" w:rsidP="00060D9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GRAN TOUR DE LOS BALCANES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4891492A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CADFF2"/>
            <w:noWrap/>
            <w:vAlign w:val="bottom"/>
            <w:hideMark/>
          </w:tcPr>
          <w:p w14:paraId="08B0B5A4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060D9B" w:rsidRPr="00060D9B" w14:paraId="179C73A2" w14:textId="77777777" w:rsidTr="00060D9B">
        <w:trPr>
          <w:trHeight w:val="262"/>
          <w:jc w:val="center"/>
        </w:trPr>
        <w:tc>
          <w:tcPr>
            <w:tcW w:w="5063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142AA" w14:textId="77777777" w:rsidR="00060D9B" w:rsidRPr="00060D9B" w:rsidRDefault="00060D9B" w:rsidP="00060D9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 ABR, 23 SEP, 7 OCT, 2026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75563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4560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7163AACD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6350</w:t>
            </w:r>
          </w:p>
        </w:tc>
      </w:tr>
      <w:tr w:rsidR="00060D9B" w:rsidRPr="00060D9B" w14:paraId="54CD4C74" w14:textId="77777777" w:rsidTr="00060D9B">
        <w:trPr>
          <w:trHeight w:val="241"/>
          <w:jc w:val="center"/>
        </w:trPr>
        <w:tc>
          <w:tcPr>
            <w:tcW w:w="5063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DCC0" w14:textId="77777777" w:rsidR="00060D9B" w:rsidRPr="00060D9B" w:rsidRDefault="00060D9B" w:rsidP="00060D9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06, 20 MAY 2026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D95DB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4490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7CEABFCE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6280</w:t>
            </w:r>
          </w:p>
        </w:tc>
      </w:tr>
      <w:tr w:rsidR="00060D9B" w:rsidRPr="00060D9B" w14:paraId="47A6CF8F" w14:textId="77777777" w:rsidTr="00060D9B">
        <w:trPr>
          <w:trHeight w:val="241"/>
          <w:jc w:val="center"/>
        </w:trPr>
        <w:tc>
          <w:tcPr>
            <w:tcW w:w="5063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AD97A" w14:textId="77777777" w:rsidR="00060D9B" w:rsidRPr="00060D9B" w:rsidRDefault="00060D9B" w:rsidP="00060D9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 MAY, 10 JUN, 16 SEP, 2026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0745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4730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6701B5C2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6520</w:t>
            </w:r>
          </w:p>
        </w:tc>
      </w:tr>
      <w:tr w:rsidR="00060D9B" w:rsidRPr="00060D9B" w14:paraId="6EE3DC75" w14:textId="77777777" w:rsidTr="00060D9B">
        <w:trPr>
          <w:trHeight w:val="250"/>
          <w:jc w:val="center"/>
        </w:trPr>
        <w:tc>
          <w:tcPr>
            <w:tcW w:w="5063" w:type="dxa"/>
            <w:tcBorders>
              <w:top w:val="nil"/>
              <w:left w:val="single" w:sz="12" w:space="0" w:color="0070C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572FE" w14:textId="77777777" w:rsidR="00060D9B" w:rsidRPr="00060D9B" w:rsidRDefault="00060D9B" w:rsidP="00060D9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 JUN, JUL, AGO, 02 SEP, 2026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97681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4940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FFFFF"/>
            <w:noWrap/>
            <w:vAlign w:val="bottom"/>
            <w:hideMark/>
          </w:tcPr>
          <w:p w14:paraId="7CD412D8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6730</w:t>
            </w:r>
          </w:p>
        </w:tc>
      </w:tr>
      <w:tr w:rsidR="00060D9B" w:rsidRPr="00060D9B" w14:paraId="670BCBD1" w14:textId="77777777" w:rsidTr="00060D9B">
        <w:trPr>
          <w:trHeight w:val="250"/>
          <w:jc w:val="center"/>
        </w:trPr>
        <w:tc>
          <w:tcPr>
            <w:tcW w:w="6676" w:type="dxa"/>
            <w:gridSpan w:val="3"/>
            <w:tcBorders>
              <w:top w:val="single" w:sz="12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FFFFF"/>
            <w:vAlign w:val="bottom"/>
            <w:hideMark/>
          </w:tcPr>
          <w:p w14:paraId="368D553D" w14:textId="4503DEA3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060D9B" w:rsidRPr="00060D9B" w14:paraId="1C5FBFDE" w14:textId="77777777" w:rsidTr="00060D9B">
        <w:trPr>
          <w:trHeight w:val="250"/>
          <w:jc w:val="center"/>
        </w:trPr>
        <w:tc>
          <w:tcPr>
            <w:tcW w:w="6676" w:type="dxa"/>
            <w:gridSpan w:val="3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FFFFFF"/>
            <w:noWrap/>
            <w:hideMark/>
          </w:tcPr>
          <w:p w14:paraId="4A96F5C7" w14:textId="77777777" w:rsidR="00060D9B" w:rsidRPr="00060D9B" w:rsidRDefault="00060D9B" w:rsidP="00060D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D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7 DE OCTUBRE 2026</w:t>
            </w:r>
          </w:p>
        </w:tc>
      </w:tr>
    </w:tbl>
    <w:p w14:paraId="62DC6502" w14:textId="77777777" w:rsidR="00060D9B" w:rsidRPr="00A0012D" w:rsidRDefault="00060D9B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060D9B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FAEE" w14:textId="77777777" w:rsidR="00711F9A" w:rsidRDefault="00711F9A">
      <w:pPr>
        <w:spacing w:after="0" w:line="240" w:lineRule="auto"/>
      </w:pPr>
      <w:r>
        <w:separator/>
      </w:r>
    </w:p>
  </w:endnote>
  <w:endnote w:type="continuationSeparator" w:id="0">
    <w:p w14:paraId="65C07B6A" w14:textId="77777777" w:rsidR="00711F9A" w:rsidRDefault="007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E1C9" w14:textId="77777777" w:rsidR="00711F9A" w:rsidRDefault="00711F9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510D209" w14:textId="77777777" w:rsidR="00711F9A" w:rsidRDefault="007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642E6DF1" w:rsidR="00A0012D" w:rsidRDefault="005354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3879B65F" wp14:editId="5F294E9B">
          <wp:simplePos x="0" y="0"/>
          <wp:positionH relativeFrom="margin">
            <wp:posOffset>3257550</wp:posOffset>
          </wp:positionH>
          <wp:positionV relativeFrom="margin">
            <wp:posOffset>-1089660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35ACF90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2A3A851" w14:textId="77777777" w:rsidR="006F6292" w:rsidRPr="006F6292" w:rsidRDefault="006F6292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F6292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GRAN TOUR DE LOS BALCANES </w:t>
                          </w:r>
                        </w:p>
                        <w:p w14:paraId="1259232A" w14:textId="26BAADA0" w:rsidR="00A0012D" w:rsidRPr="006F6292" w:rsidRDefault="006F6292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F6292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1450-E2026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2A3A851" w14:textId="77777777" w:rsidR="006F6292" w:rsidRPr="006F6292" w:rsidRDefault="006F6292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F6292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GRAN TOUR DE LOS BALCANES </w:t>
                    </w:r>
                  </w:p>
                  <w:p w14:paraId="1259232A" w14:textId="26BAADA0" w:rsidR="00A0012D" w:rsidRPr="006F6292" w:rsidRDefault="006F6292" w:rsidP="00C3776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6F6292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1450-E2026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1AA92880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6F7E87D8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7FE"/>
    <w:multiLevelType w:val="hybridMultilevel"/>
    <w:tmpl w:val="823CD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B5343"/>
    <w:multiLevelType w:val="hybridMultilevel"/>
    <w:tmpl w:val="D1B6CF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041CB6"/>
    <w:multiLevelType w:val="hybridMultilevel"/>
    <w:tmpl w:val="4E3A67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95D80"/>
    <w:multiLevelType w:val="hybridMultilevel"/>
    <w:tmpl w:val="806ACF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D7E6B"/>
    <w:multiLevelType w:val="hybridMultilevel"/>
    <w:tmpl w:val="4B8CB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2"/>
  </w:num>
  <w:num w:numId="3" w16cid:durableId="1041170892">
    <w:abstractNumId w:val="21"/>
  </w:num>
  <w:num w:numId="4" w16cid:durableId="1033921887">
    <w:abstractNumId w:val="35"/>
  </w:num>
  <w:num w:numId="5" w16cid:durableId="353725778">
    <w:abstractNumId w:val="22"/>
  </w:num>
  <w:num w:numId="6" w16cid:durableId="1716585056">
    <w:abstractNumId w:val="43"/>
  </w:num>
  <w:num w:numId="7" w16cid:durableId="844133380">
    <w:abstractNumId w:val="15"/>
  </w:num>
  <w:num w:numId="8" w16cid:durableId="1397362128">
    <w:abstractNumId w:val="8"/>
  </w:num>
  <w:num w:numId="9" w16cid:durableId="655494188">
    <w:abstractNumId w:val="14"/>
  </w:num>
  <w:num w:numId="10" w16cid:durableId="1272128669">
    <w:abstractNumId w:val="18"/>
  </w:num>
  <w:num w:numId="11" w16cid:durableId="1973628246">
    <w:abstractNumId w:val="16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8"/>
  </w:num>
  <w:num w:numId="15" w16cid:durableId="1904682630">
    <w:abstractNumId w:val="29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4"/>
  </w:num>
  <w:num w:numId="19" w16cid:durableId="598945982">
    <w:abstractNumId w:val="30"/>
  </w:num>
  <w:num w:numId="20" w16cid:durableId="1140269920">
    <w:abstractNumId w:val="11"/>
  </w:num>
  <w:num w:numId="21" w16cid:durableId="2122257090">
    <w:abstractNumId w:val="19"/>
  </w:num>
  <w:num w:numId="22" w16cid:durableId="888809429">
    <w:abstractNumId w:val="28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5"/>
  </w:num>
  <w:num w:numId="26" w16cid:durableId="1067849433">
    <w:abstractNumId w:val="20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2"/>
  </w:num>
  <w:num w:numId="31" w16cid:durableId="923074745">
    <w:abstractNumId w:val="41"/>
  </w:num>
  <w:num w:numId="32" w16cid:durableId="116720605">
    <w:abstractNumId w:val="44"/>
  </w:num>
  <w:num w:numId="33" w16cid:durableId="2069497245">
    <w:abstractNumId w:val="6"/>
  </w:num>
  <w:num w:numId="34" w16cid:durableId="775835334">
    <w:abstractNumId w:val="26"/>
  </w:num>
  <w:num w:numId="35" w16cid:durableId="1096292628">
    <w:abstractNumId w:val="17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2"/>
  </w:num>
  <w:num w:numId="40" w16cid:durableId="1433629918">
    <w:abstractNumId w:val="27"/>
  </w:num>
  <w:num w:numId="41" w16cid:durableId="1747460382">
    <w:abstractNumId w:val="23"/>
  </w:num>
  <w:num w:numId="42" w16cid:durableId="1439136234">
    <w:abstractNumId w:val="40"/>
  </w:num>
  <w:num w:numId="43" w16cid:durableId="1079642423">
    <w:abstractNumId w:val="10"/>
  </w:num>
  <w:num w:numId="44" w16cid:durableId="622998271">
    <w:abstractNumId w:val="13"/>
  </w:num>
  <w:num w:numId="45" w16cid:durableId="14604133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60D9B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14AF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1F47B1"/>
    <w:rsid w:val="00200186"/>
    <w:rsid w:val="00202B08"/>
    <w:rsid w:val="00202B16"/>
    <w:rsid w:val="00203B47"/>
    <w:rsid w:val="00206A52"/>
    <w:rsid w:val="00213253"/>
    <w:rsid w:val="0022196F"/>
    <w:rsid w:val="002219CB"/>
    <w:rsid w:val="00253EC6"/>
    <w:rsid w:val="00260703"/>
    <w:rsid w:val="00261771"/>
    <w:rsid w:val="00263754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74DD0"/>
    <w:rsid w:val="004819C9"/>
    <w:rsid w:val="00493763"/>
    <w:rsid w:val="004A4673"/>
    <w:rsid w:val="004A4DC7"/>
    <w:rsid w:val="004A5231"/>
    <w:rsid w:val="004A5406"/>
    <w:rsid w:val="004B3A55"/>
    <w:rsid w:val="004B58B8"/>
    <w:rsid w:val="004B5E48"/>
    <w:rsid w:val="004D1B7B"/>
    <w:rsid w:val="004F3ADB"/>
    <w:rsid w:val="00514B5C"/>
    <w:rsid w:val="005354C4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600CC3"/>
    <w:rsid w:val="006124CF"/>
    <w:rsid w:val="00617178"/>
    <w:rsid w:val="006210F5"/>
    <w:rsid w:val="00622264"/>
    <w:rsid w:val="00636DC7"/>
    <w:rsid w:val="00655CC5"/>
    <w:rsid w:val="00671CD9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6F6292"/>
    <w:rsid w:val="00706CC3"/>
    <w:rsid w:val="00711F9A"/>
    <w:rsid w:val="00724E17"/>
    <w:rsid w:val="00736ED4"/>
    <w:rsid w:val="007405ED"/>
    <w:rsid w:val="00755B27"/>
    <w:rsid w:val="00767F6E"/>
    <w:rsid w:val="00771430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D5F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22A4"/>
    <w:rsid w:val="00854018"/>
    <w:rsid w:val="00860155"/>
    <w:rsid w:val="0087417E"/>
    <w:rsid w:val="00876C60"/>
    <w:rsid w:val="0088560B"/>
    <w:rsid w:val="00890AC9"/>
    <w:rsid w:val="008912B8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4C4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11D6B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EEC8D06F-BAD0-4379-875D-08002FB55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2026-03-09T02:08:00Z</dcterms:created>
  <dcterms:modified xsi:type="dcterms:W3CDTF">2026-03-09T17:46:00Z</dcterms:modified>
</cp:coreProperties>
</file>